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参考文献与数据依据</w:t>
      </w:r>
    </w:p>
    <w:p>
      <w:pPr>
        <w:pStyle w:val="Heading1"/>
      </w:pPr>
      <w:r>
        <w:t>资料清单</w:t>
      </w:r>
    </w:p>
    <w:p>
      <w:r>
        <w:t>1. 新华网客户端，《赛力斯超级工厂树立行业标杆 以智能制造加速发展新质生产力》，https://app.xinhuanet.com/news/article.html?articleId=e6e33e5a849304f1f26e31a116e909de。用途：用于确认赛力斯超级工厂关键工序自动化、机器人协同、质量自动化监测追溯和异常定位能力。
2. 华为企业业务，《解码赛力斯超级工厂智慧园区，共启“智”造新时代》，https://e.huawei.com/cn/case-studies/solutions/campus/202509-seres。用途：用于支撑一车一档、全过程质量数据采集、AI检测点、园区网络与AIoT底座设计。
3. SGS China，《案例 | 赛力斯超级工厂：以“碳中和”定义汽车产业绿色转型标杆》，https://www.sgsgroup.com.cn/zh-cn/news/2026/01/sgs-issues-iso-14068-certificate-for-sailisi-super-factory。用途：用于补充A股/H股代码、龙兴超级工厂高度自动化智能化绿色化、数字孪生与远程运维背景。
4. Engineering，《An Intelligent Quality Control Method for Manufacturing Processes Based on a Human-Cyber-Physical Knowledge Graph》，https://www.engineering.org.cn/engi/EN/1159981922719949455。用途：用于参考HCP质量知识图谱、本体构建、案例检索、自动分析与辅助决策方法。
5. MDPI Electronics，《Document GraphRAG: Knowledge Graph Enhanced Retrieval Augmented Generation for Document Question Answering Within the Manufacturing Domain》，https://www.mdpi.com/2079-9292/14/11/2102。用途：用于支撑制造领域GraphRAG比朴素RAG更适合多跳问题和结构化检索的方案选择。
6. ACL Anthology，《ROGRAG: A Robustly Optimized GraphRAG Framework》，https://aclanthology.org/2025.acl-demo.58/。用途：用于参考多阶段检索、逻辑形式检索、结果验证与增量知识库构建思路。
7. Semantic Web Journal，《ProQ-KG: Integrated Cyber-Physical Production System Knowledge Graph for Quality Issue Analysis》，https://www.semantic-web-journal.org/content/proq-kg-integrated-cyber-physical-production-system-knowledge-graph-quality-issue-analysis。用途：用于参考PPR与FMEA融合本体，支撑质量问题多角色协同分析。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