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报名表填写文本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9E1B32"/>
        </w:rPr>
        <w:t xml:space="preserve">企业命题：</w:t>
      </w:r>
      <w:r>
        <w:t xml:space="preserve">如果加入赛力斯超级工厂团队，如何打造一名会主动管控设备质量风险的AI数字员工。</w:t>
      </w:r>
    </w:p>
    <w:p>
      <w:r>
        <w:t xml:space="preserve"/>
      </w:r>
    </w:p>
    <w:p>
      <w:r>
        <w:rPr>
          <w:b/>
          <w:color w:val="9E1B32"/>
        </w:rPr>
        <w:t xml:space="preserve">队伍名称：</w:t>
      </w:r>
      <w:r>
        <w:t xml:space="preserve">智造知行队</w:t>
      </w:r>
    </w:p>
    <w:p>
      <w:r>
        <w:t xml:space="preserve"/>
      </w:r>
    </w:p>
    <w:p>
      <w:r>
        <w:rPr>
          <w:b/>
          <w:color w:val="9E1B32"/>
        </w:rPr>
        <w:t xml:space="preserve">作品名称：</w:t>
      </w:r>
      <w:r>
        <w:t xml:space="preserve">知质·灵巡：面向新能源汽车智能工厂的质量风险主动管控数字员工</w:t>
      </w:r>
    </w:p>
    <w:p>
      <w:r>
        <w:t xml:space="preserve"/>
      </w:r>
    </w:p>
    <w:p>
      <w:pPr>
        <w:pStyle w:val="Heading1"/>
        <w:keepNext/>
      </w:pPr>
      <w:r>
        <w:t xml:space="preserve">开题报告part 1：命题前置分析与洞察</w:t>
      </w:r>
    </w:p>
    <w:p>
      <w:r>
        <w:t xml:space="preserve"/>
      </w:r>
    </w:p>
    <w:p>
      <w:pPr>
        <w:pStyle w:val="BodyText"/>
      </w:pPr>
      <w:r>
        <w:t xml:space="preserve">赛力斯超级工厂已形成“产业大脑+超级工厂”、全过程在线检测和“一件一档、一车一档”等数智基础。真正需要补强的不是再建一个报警看板，而是把设备退化、参数漂移、质量检测、VIN/批次、维修记录和FMEA组织成可行动的风险线程。传统知识库等待人员提问，报警系统只说明“发生了什么”，群聊又难以沉淀责任、时限和证据。因此，本方案将数字员工定义为质量风险专员：异常尚未形成终检缺陷时主动发现，沿图谱圈定影响对象，输出可证伪根因假设与证据链，推动处置并在关闭后形成可复用知识。</w:t>
      </w:r>
    </w:p>
    <w:p>
      <w:r>
        <w:t xml:space="preserve"/>
      </w:r>
    </w:p>
    <w:p>
      <w:pPr>
        <w:pStyle w:val="Heading1"/>
        <w:keepNext/>
      </w:pPr>
      <w:r>
        <w:t xml:space="preserve">开题报告part 2：整体解决方案设计</w:t>
      </w:r>
    </w:p>
    <w:p>
      <w:r>
        <w:t xml:space="preserve"/>
      </w:r>
    </w:p>
    <w:p>
      <w:pPr>
        <w:pStyle w:val="BodyText"/>
      </w:pPr>
      <w:r>
        <w:t xml:space="preserve">“知质·灵巡”由质量知识底座、GraphRAG推理引擎、岗位化Agent和飞书执行织网组成。底座以本体统一设备、工位、工序、参数、质量特性、缺陷模式、VIN/批次、FMEA、控制计划和责任任务；异常触发后，系统先用规则与时序特征分级，再沿图谱检索SOP、维修记录和历史8D，形成风险等级、影响范围、根因Top-K、证据链与关闭条件。Agent执行“观察—研判—检索—推理—行动—复盘”，但不直接修改PLC参数、不替代质量放行、不自动关闭P1。飞书侧以同一事件ID贯穿多维表格、任务、消息卡片和复盘文档，并通过幂等键防止重复派单。作品已完成四类工况互动工作台、13字段在线质量事件表、真实飞书任务和关联复盘文档。90天试点目标为异常定位时间下降40%—60%、P1派单小于1分钟、根因Top-3命中不低于80%、复盘沉淀率不低于90%，并可复制到电驱、电池包、整车标定和供应链质量场景。</w:t>
      </w:r>
    </w:p>
    <w:p>
      <w:r>
        <w:t xml:space="preserve"/>
      </w:r>
    </w:p>
    <w:p>
      <w:r>
        <w:rPr>
          <w:b/>
          <w:color w:val="9E1B32"/>
        </w:rPr>
        <w:t xml:space="preserve">团队补充材料链接：</w:t>
      </w:r>
      <w:r>
        <w:t xml:space="preserve">https://github.com/zhijinDeng/Seris</w:t>
      </w:r>
    </w:p>
    <w:p>
      <w:r>
        <w:t xml:space="preserve"/>
      </w:r>
    </w:p>
    <w:p>
      <w:pPr>
        <w:pStyle w:val="BodyText"/>
      </w:pPr>
      <w:r>
        <w:t xml:space="preserve">在线质量事件表：https://larkcommunity.feishu.cn/base/DYAabhZeiagT0ZsjGaTcWFPrn7b?table=tblFo5Btaj0IBXiD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