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整体解决方案书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6583680" cy="3703320"/>
            <wp:docPr id="1" name="质量风险主动管控总体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ai-architecture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ReferenceList"/>
      </w:pPr>
      <w:r>
        <w:t xml:space="preserve">图1  质量风险主动管控AI数字员工总体架构</w:t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一、方案总览</w:t>
      </w:r>
    </w:p>
    <w:p>
      <w:r>
        <w:t xml:space="preserve"/>
      </w:r>
    </w:p>
    <w:p>
      <w:pPr>
        <w:pStyle w:val="BodyText"/>
      </w:pPr>
      <w:r>
        <w:t xml:space="preserve">“知质·灵巡”是一名面向赛力斯超级工厂的设备质量风险主动管控数字员工。方案以工厂质量知识底座为根，以GraphRAG和因果约束为推理引擎，以Autonomous Agent为工作流中枢，以飞书Aily、多维表格和机器人卡片为协同执行层，形成从感知到行动的闭环。</w:t>
      </w:r>
    </w:p>
    <w:p>
      <w:r>
        <w:t xml:space="preserve"/>
      </w:r>
    </w:p>
    <w:p>
      <w:pPr>
        <w:pStyle w:val="BodyText"/>
      </w:pPr>
      <w:r>
        <w:t xml:space="preserve">围绕题面要求，方案的建设顺序是先建“设备与质量知识底座”，再做“会主动思考和执行的Agent”，最后用“飞书协同工具链”把风险处置落到人、车、设备和任务上。三者缺一不可：没有知识底座，数字员工无法解释；没有自主Agent，系统仍停留在问答；没有飞书闭环，推理结果难以转化为现场行动。</w:t>
      </w:r>
    </w:p>
    <w:p>
      <w:r>
        <w:t xml:space="preserve"/>
      </w:r>
    </w:p>
    <w:p>
      <w:pPr>
        <w:pStyle w:val="BodyText"/>
      </w:pPr>
      <w:r>
        <w:t xml:space="preserve">它要解决的不是单点报警展示，而是现场质量管理中最难沉淀的隐性风险：设备已经出现退化或偏移，但终检尚未报废；参数已经越过窗口，但影响车辆和根因还不清楚；班组已经在群里沟通，但责任、时限、证据和复盘没有进入结构化资产。知质·灵巡把这些碎片组织成一条可追溯风险线程。</w:t>
      </w:r>
    </w:p>
    <w:p>
      <w:r>
        <w:t xml:space="preserve"/>
      </w:r>
    </w:p>
    <w:p>
      <w:pPr>
        <w:pStyle w:val="Heading1"/>
        <w:keepNext/>
      </w:pPr>
      <w:r>
        <w:t xml:space="preserve">二、总体架构与核心模块</w:t>
      </w:r>
    </w:p>
    <w:p>
      <w:r>
        <w:t xml:space="preserve"/>
      </w:r>
    </w:p>
    <w:p>
      <w:pPr>
        <w:pStyle w:val="ListParagraph"/>
      </w:pPr>
      <w:r>
        <w:t xml:space="preserve">1. 现场与边缘层：只读接入PLC/SCADA设备告警、工艺参数、MES过站、QMS缺陷、视觉/X光、点检和维修数据。</w:t>
      </w:r>
    </w:p>
    <w:p>
      <w:r>
        <w:t xml:space="preserve"/>
      </w:r>
    </w:p>
    <w:p>
      <w:pPr>
        <w:pStyle w:val="ListParagraph"/>
      </w:pPr>
      <w:r>
        <w:t xml:space="preserve">2. 事件与数据质量层：按事件数据契约Schema v2.1校验来源、序列、时钟、单位、设备/工位/点位ID、校准有效期和VIN/批次绑定，不合格事件进入隔离分支。</w:t>
      </w:r>
    </w:p>
    <w:p>
      <w:r>
        <w:t xml:space="preserve"/>
      </w:r>
    </w:p>
    <w:p>
      <w:pPr>
        <w:pStyle w:val="ListParagraph"/>
      </w:pPr>
      <w:r>
        <w:t xml:space="preserve">3. 知识底座层：建设质量本体和知识图谱，覆盖设备、工位、工序、参数、质量特性、缺陷模式、根因、控制计划、VIN、批次、角色和任务。</w:t>
      </w:r>
    </w:p>
    <w:p>
      <w:r>
        <w:t xml:space="preserve"/>
      </w:r>
    </w:p>
    <w:p>
      <w:pPr>
        <w:pStyle w:val="ListParagraph"/>
      </w:pPr>
      <w:r>
        <w:t xml:space="preserve">4. 风险检测层：组合工艺窗口、EWMA、CUSUM、响应残差、同位复现、设备寿命和知识关系，计算缺陷显性化前置量并识别P1/P2/P3。</w:t>
      </w:r>
    </w:p>
    <w:p>
      <w:r>
        <w:t xml:space="preserve"/>
      </w:r>
    </w:p>
    <w:p>
      <w:pPr>
        <w:pStyle w:val="ListParagraph"/>
      </w:pPr>
      <w:r>
        <w:t xml:space="preserve">5. GraphRAG与因果保障层：当前作品以36个图谱节点、32条关系边和来源轨迹完成机制验证；既支持设备—参数—质量—VIN实时风险路径，也支持实例—类型—功能—同类设备—工单—故障模式知识债路径。生产版接入企业图数据库、文档切片与向量索引，输出Top-3、冲突证据和反证动作。</w:t>
      </w:r>
    </w:p>
    <w:p>
      <w:r>
        <w:t xml:space="preserve"/>
      </w:r>
    </w:p>
    <w:p>
      <w:pPr>
        <w:pStyle w:val="ListParagraph"/>
      </w:pPr>
      <w:r>
        <w:t xml:space="preserve">6. Agent与策略层：执行观察、研判、检索、推理、行动和复盘，控制运行模式、职责分离和五项独立关闭门。</w:t>
      </w:r>
    </w:p>
    <w:p>
      <w:r>
        <w:t xml:space="preserve"/>
      </w:r>
    </w:p>
    <w:p>
      <w:pPr>
        <w:pStyle w:val="ListParagraph"/>
      </w:pPr>
      <w:r>
        <w:t xml:space="preserve">7. 飞书与治理层：以六张关联表、任务、卡片、Aily、原生审批、文档和事件订阅承接协同；P1不允许数字员工自动放行，L3不由浏览器授予。</w:t>
      </w:r>
    </w:p>
    <w:p>
      <w:r>
        <w:t xml:space="preserve"/>
      </w:r>
    </w:p>
    <w:p>
      <w:pPr>
        <w:pStyle w:val="Heading1"/>
        <w:keepNext/>
      </w:pPr>
      <w:r>
        <w:t xml:space="preserve">三、关键业务流程</w:t>
      </w:r>
    </w:p>
    <w:p>
      <w:r>
        <w:t xml:space="preserve"/>
      </w:r>
    </w:p>
    <w:p>
      <w:pPr>
        <w:pStyle w:val="Heading2"/>
        <w:keepNext/>
      </w:pPr>
      <w:r>
        <w:t xml:space="preserve">流程A：企业工单“闭而未解”审计</w:t>
      </w:r>
    </w:p>
    <w:p>
      <w:r>
        <w:t xml:space="preserve"/>
      </w:r>
    </w:p>
    <w:p>
      <w:pPr>
        <w:pStyle w:val="BodyText"/>
      </w:pPr>
      <w:r>
        <w:t xml:space="preserve">系统对406张脱敏工单执行关系完整性审计，发现工单—设备关联率94.33%，但工单—故障模式关联率17.49%，类型一致完整结构链15.27%。随后按工单集中度、知识缺口和设备功能影响定位到`EQ-XBB841ED4011`：121张工单中119张已关闭、120张未形成确认原因、0张关联故障模式。GraphRAG沿设备实例—类型—功能—同类型设备—工单—故障模式检索，提出两个维护因素候选，但保持“待现场验证”。Agent创建诊断、现场检查、复机确认、标准变更审批和回写回执对象；只有设备与质量岗位批准后，服务端连接器才能更新现有设备平台。</w:t>
      </w:r>
    </w:p>
    <w:p>
      <w:r>
        <w:t xml:space="preserve"/>
      </w:r>
    </w:p>
    <w:p>
      <w:pPr>
        <w:pStyle w:val="Heading2"/>
        <w:keepNext/>
      </w:pPr>
      <w:r>
        <w:t xml:space="preserve">流程B：总装拧紧实时风险仿真</w:t>
      </w:r>
    </w:p>
    <w:p>
      <w:r>
        <w:t xml:space="preserve"/>
      </w:r>
    </w:p>
    <w:p>
      <w:r>
        <w:rPr>
          <w:b/>
          <w:color w:val="9E1B32"/>
        </w:rPr>
        <w:t xml:space="preserve">TQ-17智能拧紧枪出现M12关键螺栓扭矩偏低后，系统完成六步：</w:t>
      </w:r>
      <w:r>
        <w:t xml:space="preserve"/>
      </w:r>
    </w:p>
    <w:p>
      <w:r>
        <w:t xml:space="preserve"/>
      </w:r>
    </w:p>
    <w:p>
      <w:pPr>
        <w:pStyle w:val="ListParagraph"/>
      </w:pPr>
      <w:r>
        <w:t xml:space="preserve">1. 识别86.4N·m低于92-108N·m工艺窗口，并发现连续3辆车同点位越界。</w:t>
      </w:r>
    </w:p>
    <w:p>
      <w:pPr>
        <w:pStyle w:val="ListParagraph"/>
      </w:pPr>
      <w:r>
        <w:t xml:space="preserve">2. 通过MES过站记录圈定VIN尾号8123-8125，并向上一次合格校验时间窗扩展核查。</w:t>
      </w:r>
    </w:p>
    <w:p>
      <w:pPr>
        <w:pStyle w:val="ListParagraph"/>
      </w:pPr>
      <w:r>
        <w:t xml:space="preserve">3. 沿“总装一线-底盘合装-TQ-17-扭矩参数-预紧力风险-FMEA条目-历史案例C-009”路径检索证据。</w:t>
      </w:r>
    </w:p>
    <w:p>
      <w:pPr>
        <w:pStyle w:val="ListParagraph"/>
      </w:pPr>
      <w:r>
        <w:t xml:space="preserve">4. 结合角度补偿波动、套筒寿命、校准记录和历史案例，形成“套筒磨损叠加校准漂移”的根因假设。</w:t>
      </w:r>
    </w:p>
    <w:p>
      <w:pPr>
        <w:pStyle w:val="ListParagraph"/>
      </w:pPr>
      <w:r>
        <w:t xml:space="preserve">5. 自动生成车辆隔离、扭矩复检、设备校准、套筒检查、备用设备首件确认和FMEA回写任务。</w:t>
      </w:r>
    </w:p>
    <w:p>
      <w:pPr>
        <w:pStyle w:val="ListParagraph"/>
      </w:pPr>
      <w:r>
        <w:t xml:space="preserve">6. 当复检合格、设备恢复、责任人确认和放行依据齐全后关闭事件，沉淀为下一次推理样本。</w:t>
      </w:r>
    </w:p>
    <w:p>
      <w:r>
        <w:t xml:space="preserve"/>
      </w:r>
    </w:p>
    <w:p>
      <w:pPr>
        <w:pStyle w:val="Heading1"/>
        <w:keepNext/>
      </w:pPr>
      <w:r>
        <w:t xml:space="preserve">四、创新点</w:t>
      </w:r>
    </w:p>
    <w:p>
      <w:r>
        <w:t xml:space="preserve"/>
      </w:r>
    </w:p>
    <w:p>
      <w:r>
        <w:rPr>
          <w:b/>
          <w:color w:val="9E1B32"/>
        </w:rPr>
        <w:t xml:space="preserve">设备质量风险线程：</w:t>
      </w:r>
      <w:r>
        <w:t xml:space="preserve">把报警、参数、VIN、证据、任务、责任人、SLA和复盘结论绑定成一条业务对象，避免质量知识散落在系统、群聊和个人经验里。</w:t>
      </w:r>
    </w:p>
    <w:p>
      <w:r>
        <w:t xml:space="preserve"/>
      </w:r>
    </w:p>
    <w:p>
      <w:r>
        <w:rPr>
          <w:b/>
          <w:color w:val="9E1B32"/>
        </w:rPr>
        <w:t xml:space="preserve">主动式GraphRAG：</w:t>
      </w:r>
      <w:r>
        <w:t xml:space="preserve">不是人员提问后再检索，而是在参数流和告警流中触发检索；图谱决定检索范围，文档补足证据，规则和因果约束校验推理方向。</w:t>
      </w:r>
    </w:p>
    <w:p>
      <w:r>
        <w:t xml:space="preserve"/>
      </w:r>
    </w:p>
    <w:p>
      <w:pPr>
        <w:pStyle w:val="BodyText"/>
      </w:pPr>
      <w:r>
        <w:t xml:space="preserve">一车一因果链：把一车一档从追溯档案升级为风险推理载体，让每辆受影响车辆都能说明“经过了哪个工位、受到哪个参数影响、依据哪些证据执行了哪项处置”。</w:t>
      </w:r>
    </w:p>
    <w:p>
      <w:r>
        <w:t xml:space="preserve"/>
      </w:r>
    </w:p>
    <w:p>
      <w:pPr>
        <w:pStyle w:val="BodyText"/>
      </w:pPr>
      <w:r>
        <w:t xml:space="preserve">飞书即执行层：飞书不只是通知渠道，而是质量事件、任务、责任、状态和复盘的协同载体。Aily承接查询和更新，多维表格承接结构化闭环，机器人卡片推动班组响应。</w:t>
      </w:r>
    </w:p>
    <w:p>
      <w:r>
        <w:t xml:space="preserve"/>
      </w:r>
    </w:p>
    <w:p>
      <w:r>
        <w:rPr>
          <w:b/>
          <w:color w:val="9E1B32"/>
        </w:rPr>
        <w:t xml:space="preserve">受控知识演进：</w:t>
      </w:r>
      <w:r>
        <w:t xml:space="preserve">现场处置关闭后生成根因、措施、复检结果和阈值差异草案；经设备、质量和知识岗位审核，再形成候选知识版本，效果由后续观察窗验证。</w:t>
      </w:r>
    </w:p>
    <w:p>
      <w:r>
        <w:t xml:space="preserve"/>
      </w:r>
    </w:p>
    <w:p>
      <w:pPr>
        <w:pStyle w:val="Heading1"/>
        <w:keepNext/>
      </w:pPr>
      <w:r>
        <w:t xml:space="preserve">五、落地路线</w:t>
      </w:r>
    </w:p>
    <w:p>
      <w:r>
        <w:t xml:space="preserve"/>
      </w:r>
    </w:p>
    <w:p>
      <w:r>
        <w:rPr>
          <w:b/>
          <w:color w:val="9E1B32"/>
        </w:rPr>
        <w:t xml:space="preserve">第1阶段：</w:t>
      </w:r>
      <w:r>
        <w:t xml:space="preserve">离线回放。导入历史异常、维修、检测和放行记录，验证风险分级、影响范围圈定和根因命中率。</w:t>
      </w:r>
    </w:p>
    <w:p>
      <w:r>
        <w:t xml:space="preserve"/>
      </w:r>
    </w:p>
    <w:p>
      <w:r>
        <w:rPr>
          <w:b/>
          <w:color w:val="9E1B32"/>
        </w:rPr>
        <w:t xml:space="preserve">第2阶段：</w:t>
      </w:r>
      <w:r>
        <w:t xml:space="preserve">影子运行。系统在当班实时生成建议，但不改变现有放行流程，记录质量工程师采纳、修改或驳回原因。</w:t>
      </w:r>
    </w:p>
    <w:p>
      <w:r>
        <w:t xml:space="preserve"/>
      </w:r>
    </w:p>
    <w:p>
      <w:r>
        <w:rPr>
          <w:b/>
          <w:color w:val="9E1B32"/>
        </w:rPr>
        <w:t xml:space="preserve">第3阶段：</w:t>
      </w:r>
      <w:r>
        <w:t xml:space="preserve">协同闭环。接入飞书多维表格、Aily、任务、卡片和原生审批，实现P1/P2事件任务派发、状态跟踪、知识变更审批和主平台受控回写。</w:t>
      </w:r>
    </w:p>
    <w:p>
      <w:r>
        <w:t xml:space="preserve"/>
      </w:r>
    </w:p>
    <w:p>
      <w:r>
        <w:rPr>
          <w:b/>
          <w:color w:val="9E1B32"/>
        </w:rPr>
        <w:t xml:space="preserve">第4阶段：</w:t>
      </w:r>
      <w:r>
        <w:t xml:space="preserve">产线复制。把四类工况模板扩展到电驱装配、电池包气密、整车标定、供应链来料和路试问题闭环。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六、业务价值与验收</w:t>
      </w:r>
    </w:p>
    <w:p>
      <w:r>
        <w:t xml:space="preserve"/>
      </w:r>
    </w:p>
    <w:p>
      <w:pPr>
        <w:pStyle w:val="BodyText"/>
      </w:pPr>
      <w:r>
        <w:t xml:space="preserve">90天试点目标分两组。实时风险队列按“被系统识别且经现场确认的P1/全部现场确认P1，按周盲测”验证P1召回率不低于95%，同时验证任务派发小于1分钟、根因Top-3命中率不低于80%、前置量中位数不少于10分钟；知识债队列验证派发查准率不低于95%、错误自动写入为0、审批与回写可追溯率100%。改善类指标以冻结的人工基线和匹配样本核算，不作为既成收益。</w:t>
      </w:r>
    </w:p>
    <w:p>
      <w:r>
        <w:t xml:space="preserve"/>
      </w:r>
    </w:p>
    <w:p>
      <w:pPr>
        <w:pStyle w:val="Heading1"/>
        <w:keepNext/>
      </w:pPr>
      <w:r>
        <w:t xml:space="preserve">七、生产级组件与接口设计</w:t>
      </w:r>
    </w:p>
    <w:p>
      <w:r>
        <w:t xml:space="preserve"/>
      </w:r>
    </w:p>
    <w:p>
      <w:pPr>
        <w:pStyle w:val="BodyText"/>
      </w:pPr>
      <w:r>
        <w:t xml:space="preserve">数据接入采用事件总线和批流结合方式。高频设备参数先在边缘侧完成窗口、漂移、连续性与缺失检查，只把异常片段和特征送入风险层；MES、QMS、维修和文档数据按事件ID与时间窗关联。所有输入记录source_system、event_time、ingest_time、version和quality_flag，防止用过期数据解释当前异常。</w:t>
      </w:r>
    </w:p>
    <w:p>
      <w:r>
        <w:t xml:space="preserve"/>
      </w:r>
    </w:p>
    <w:p>
      <w:pPr>
        <w:pStyle w:val="BodyText"/>
      </w:pPr>
      <w:r>
        <w:t xml:space="preserve">知识底座采用“本体层—实例层—证据层”三层结构。本体层定义设备、工位、工序、参数、质量特性、缺陷模式、控制计划、VIN/批次、角色和任务；实例层承载实时设备与事件关系；证据层保存文档片段、规则版本、历史案例和人工确认。GraphRAG先执行子图扩展和规则剪枝，再按关系距离、时间一致性、数据质量和案例相似度重排证据，最后交给大模型生成带引用解释。</w:t>
      </w:r>
    </w:p>
    <w:p>
      <w:r>
        <w:t xml:space="preserve"/>
      </w:r>
    </w:p>
    <w:p>
      <w:pPr>
        <w:pStyle w:val="BodyText"/>
      </w:pPr>
      <w:r>
        <w:t xml:space="preserve">Agent由观察器、风险评估器、检索器、影响圈定器、任务编排器、关闭校验器和知识回写器组成。每个工具只获得完成岗位动作所需的最小权限，P1关闭工具必须接收质量负责人确认令牌。任务与Base写入使用事件ID幂等，事件订阅用message_id、event_id和task_guid去重，避免网络重试造成重复任务或重复关闭。</w:t>
      </w:r>
    </w:p>
    <w:p>
      <w:r>
        <w:t xml:space="preserve"/>
      </w:r>
    </w:p>
    <w:p>
      <w:pPr>
        <w:pStyle w:val="Heading1"/>
        <w:keepNext/>
      </w:pPr>
      <w:r>
        <w:t xml:space="preserve">八、飞书执行织网</w:t>
      </w:r>
    </w:p>
    <w:p>
      <w:r>
        <w:t xml:space="preserve"/>
      </w:r>
    </w:p>
    <w:p>
      <w:pPr>
        <w:pStyle w:val="BodyText"/>
      </w:pPr>
      <w:r>
        <w:t xml:space="preserve">当前在线Base已建立13个质量事件字段，并完成写入回读核验。任务GUID `f10d51e5-cc8e-4c71-9441-cd29a77feacf`与复盘文档token `PjludNq8foBhkrxV8VQccsldneb`作为对象样例保留；企业身份、角色映射和编排回执完成前，不将对象样例计为生产自动闭环。</w:t>
      </w:r>
    </w:p>
    <w:p>
      <w:r>
        <w:t xml:space="preserve"/>
      </w:r>
    </w:p>
    <w:p>
      <w:pPr>
        <w:pStyle w:val="BodyText"/>
      </w:pPr>
      <w:r>
        <w:t xml:space="preserve">生产版增加质量事件、处置任务、复检记录、设备维修、审批记录和复盘知识六张关联表。P1消息卡片提供确认隔离、接单、补充证据和升级四类动作；任务中心负责负责人、SLA、评论和附件；Aily提供事件查询、VIN追溯和复盘入口；记录、任务与审批事件驱动Base状态回写。机器人可用范围、角色映射、原生审批、回调和事件订阅在企业开发者后台完成审核后启用。</w:t>
      </w:r>
    </w:p>
    <w:p>
      <w:r>
        <w:t xml:space="preserve"/>
      </w:r>
    </w:p>
    <w:p>
      <w:pPr>
        <w:pStyle w:val="Heading1"/>
        <w:keepNext/>
      </w:pPr>
      <w:r>
        <w:t xml:space="preserve">九、可靠性与安全</w:t>
      </w:r>
    </w:p>
    <w:p>
      <w:r>
        <w:t xml:space="preserve"/>
      </w:r>
    </w:p>
    <w:p>
      <w:pPr>
        <w:pStyle w:val="BodyText"/>
      </w:pPr>
      <w:r>
        <w:t xml:space="preserve">系统采用三类降级策略。数据降级：关键点位缺失、时钟偏差或延迟超阈值时只保留监测，不生成处置任务。模型降级：置信度低或证据矛盾时输出待核查项，不给出单一根因。流程降级：飞书不可用时生成本地事件包并进入人工任务清单，恢复后按幂等键补偿同步。</w:t>
      </w:r>
    </w:p>
    <w:p>
      <w:r>
        <w:t xml:space="preserve"/>
      </w:r>
    </w:p>
    <w:p>
      <w:pPr>
        <w:pStyle w:val="BodyText"/>
      </w:pPr>
      <w:r>
        <w:t xml:space="preserve">系统不存储飞书明文密钥，不在公共仓库提交访问令牌；VIN和人员信息按企业数据分级策略脱敏。所有根因结论保留证据来源、模型/规则版本、操作人和时间戳。质量负责人保留最终处置与放行权，AI的岗位价值是缩短信息收敛和协同时间，而不是取消质量责任制。</w:t>
      </w:r>
    </w:p>
    <w:p>
      <w:r>
        <w:t xml:space="preserve"/>
      </w:r>
    </w:p>
    <w:p>
      <w:pPr>
        <w:pStyle w:val="Heading1"/>
        <w:keepNext/>
      </w:pPr>
      <w:r>
        <w:t xml:space="preserve">十、决策保障、责任链与推广合同</w:t>
      </w:r>
    </w:p>
    <w:p>
      <w:r>
        <w:t xml:space="preserve"/>
      </w:r>
    </w:p>
    <w:p>
      <w:pPr>
        <w:pStyle w:val="BodyText"/>
      </w:pPr>
      <w:r>
        <w:t xml:space="preserve">方案将“确定性”拆成三道关口。决策前检查数据完整、时序先行、机理一致、同位复现和干预可证伪；现场处置关闭前检查源数据、范围、物理复检、授权确认、任务完成与知识草案入审；知识债关闭再检查标准审批、主平台回写和有效性观察。生产实名身份、量具、附件和审批回执必须由服务端及企业应用回读。</w:t>
      </w:r>
    </w:p>
    <w:p>
      <w:r>
        <w:t xml:space="preserve"/>
      </w:r>
    </w:p>
    <w:p>
      <w:pPr>
        <w:pStyle w:val="BodyText"/>
      </w:pPr>
      <w:r>
        <w:t xml:space="preserve">运行模式由策略服务统一约束：影子验证为L0只读，不能派单或关闭；协同执行为L2，可写飞书对象但不能写PLC和执行质量放行；生产受控为L3，经企业审批后可写MES协同状态，仍须人工放行。数据延迟时冻结派单，图谱不可用时切换规则只读包，飞书中断时进入Outbox并按事件ID幂等补偿。</w:t>
      </w:r>
    </w:p>
    <w:p>
      <w:r>
        <w:t xml:space="preserve"/>
      </w:r>
    </w:p>
    <w:p>
      <w:pPr>
        <w:pStyle w:val="BodyText"/>
      </w:pPr>
      <w:r>
        <w:t xml:space="preserve">跨线推广复用事件模型、Agent状态机、权限矩阵、飞书字段、审计规范和指标口径，仅替换感知适配器、工艺本体、规则包、案例集和物理验证方法。新工序必须具备稳定对象ID、事件时间、明确质量特性、可执行复检方法和责任岗位后才能准入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image" Target="media/quality-ai-architecture.png"/>

</Relationships>
</file>