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系统运行说明与完整案例</w:t>
      </w:r>
    </w:p>
    <w:p>
      <w:pPr>
        <w:pStyle w:val="Subtitle"/>
      </w:pPr>
      <w:r>
        <w:t xml:space="preserve">赛力斯企业命题参赛材料</w:t>
      </w:r>
    </w:p>
    <w:tbl>
      <w:tblPr>
        <w:tblStyle w:val="TableGrid"/>
        <w:tblW w:w="9360" w:type="dxa"/>
        <w:tblInd w:w="120" w:type="dxa"/>
        <w:tblLayout w:type="fixed"/>
        <w:tblBorders>
          <w:top w:val="single" w:sz="4" w:color="D9E0EA"/>
          <w:left w:val="single" w:sz="4" w:color="D9E0EA"/>
          <w:bottom w:val="single" w:sz="4" w:color="D9E0EA"/>
          <w:right w:val="single" w:sz="4" w:color="D9E0EA"/>
          <w:insideH w:val="single" w:sz="4" w:color="D9E0EA"/>
          <w:insideV w:val="single" w:sz="4" w:color="D9E0EA"/>
        </w:tblBorders>
      </w:tblPr>
      <w:tblGrid>
        <w:gridCol w:w="1900"/>
        <w:gridCol w:w="7460"/>
      </w:tblGrid>
      <w:tr>
        <w:tc>
          <w:tcPr>
            <w:tcW w:w="1900" w:type="dxa"/>
            <w:tcMar>
              <w:top w:w="100" w:type="dxa"/>
              <w:bottom w:w="100" w:type="dxa"/>
              <w:start w:w="140" w:type="dxa"/>
              <w:end w:w="140" w:type="dxa"/>
            </w:tcMar>
          </w:tcPr>
          <w:p>
            <w:r>
              <w:t xml:space="preserve">作品名称</w:t>
            </w:r>
          </w:p>
        </w:tc>
        <w:tc>
          <w:tcPr>
            <w:tcW w:w="7460" w:type="dxa"/>
            <w:tcMar>
              <w:top w:w="100" w:type="dxa"/>
              <w:bottom w:w="100" w:type="dxa"/>
              <w:start w:w="140" w:type="dxa"/>
              <w:end w:w="140" w:type="dxa"/>
            </w:tcMar>
          </w:tcPr>
          <w:p>
            <w:r>
              <w:t xml:space="preserve">知质·灵巡：面向新能源汽车智能工厂的质量风险主动管控数字员工</w:t>
            </w:r>
          </w:p>
        </w:tc>
      </w:tr>
      <w:tr>
        <w:tc>
          <w:tcPr>
            <w:tcW w:w="1900" w:type="dxa"/>
            <w:tcMar>
              <w:top w:w="100" w:type="dxa"/>
              <w:bottom w:w="100" w:type="dxa"/>
              <w:start w:w="140" w:type="dxa"/>
              <w:end w:w="140" w:type="dxa"/>
            </w:tcMar>
          </w:tcPr>
          <w:p>
            <w:r>
              <w:t xml:space="preserve">参赛队伍</w:t>
            </w:r>
          </w:p>
        </w:tc>
        <w:tc>
          <w:tcPr>
            <w:tcW w:w="7460" w:type="dxa"/>
            <w:tcMar>
              <w:top w:w="100" w:type="dxa"/>
              <w:bottom w:w="100" w:type="dxa"/>
              <w:start w:w="140" w:type="dxa"/>
              <w:end w:w="140" w:type="dxa"/>
            </w:tcMar>
          </w:tcPr>
          <w:p>
            <w:r>
              <w:t xml:space="preserve">智造知行队</w:t>
            </w:r>
          </w:p>
        </w:tc>
      </w:tr>
      <w:tr>
        <w:tc>
          <w:tcPr>
            <w:tcW w:w="1900" w:type="dxa"/>
            <w:tcMar>
              <w:top w:w="100" w:type="dxa"/>
              <w:bottom w:w="100" w:type="dxa"/>
              <w:start w:w="140" w:type="dxa"/>
              <w:end w:w="140" w:type="dxa"/>
            </w:tcMar>
          </w:tcPr>
          <w:p>
            <w:r>
              <w:t xml:space="preserve">数字员工</w:t>
            </w:r>
          </w:p>
        </w:tc>
        <w:tc>
          <w:tcPr>
            <w:tcW w:w="7460" w:type="dxa"/>
            <w:tcMar>
              <w:top w:w="100" w:type="dxa"/>
              <w:bottom w:w="100" w:type="dxa"/>
              <w:start w:w="140" w:type="dxa"/>
              <w:end w:w="140" w:type="dxa"/>
            </w:tcMar>
          </w:tcPr>
          <w:p>
            <w:r>
              <w:t xml:space="preserve">知质·灵巡</w:t>
            </w:r>
          </w:p>
        </w:tc>
      </w:tr>
      <w:tr>
        <w:tc>
          <w:tcPr>
            <w:tcW w:w="1900" w:type="dxa"/>
            <w:tcMar>
              <w:top w:w="100" w:type="dxa"/>
              <w:bottom w:w="100" w:type="dxa"/>
              <w:start w:w="140" w:type="dxa"/>
              <w:end w:w="140" w:type="dxa"/>
            </w:tcMar>
          </w:tcPr>
          <w:p>
            <w:r>
              <w:t xml:space="preserve">材料定位</w:t>
            </w:r>
          </w:p>
        </w:tc>
        <w:tc>
          <w:tcPr>
            <w:tcW w:w="7460" w:type="dxa"/>
            <w:tcMar>
              <w:top w:w="100" w:type="dxa"/>
              <w:bottom w:w="100" w:type="dxa"/>
              <w:start w:w="140" w:type="dxa"/>
              <w:end w:w="140" w:type="dxa"/>
            </w:tcMar>
          </w:tcPr>
          <w:p>
            <w:r>
              <w:t xml:space="preserve">设备质量风险主动识别、证据推理、飞书协同与复盘闭环</w:t>
            </w:r>
          </w:p>
        </w:tc>
      </w:tr>
    </w:tbl>
    <w:p>
      <w:pPr>
        <w:pStyle w:val="SmallSpace"/>
      </w:pPr>
      <w:r>
        <w:t xml:space="preserve"/>
      </w:r>
    </w:p>
    <w:p>
      <w:r>
        <w:t xml:space="preserve"/>
      </w:r>
    </w:p>
    <w:p>
      <w:pPr>
        <w:pStyle w:val="Heading1"/>
        <w:keepNext/>
      </w:pPr>
      <w:r>
        <w:t xml:space="preserve">一、企业脱敏数据主案例：关闭工单为什么仍需主动管控</w:t>
      </w:r>
    </w:p>
    <w:p>
      <w:r>
        <w:t xml:space="preserve"/>
      </w:r>
    </w:p>
    <w:p>
      <w:pPr>
        <w:pStyle w:val="BodyText"/>
      </w:pPr>
      <w:r>
        <w:t xml:space="preserve">赛事数据包包含625类设备、9673台设备实例、336项设备功能、1287条故障模式和406张维修工单。知质·灵巡首先运行关系完整性审计：383张工单关联设备，71张关联故障模式，62张形成“工单—设备实例—设备类型—故障模式”且类型一致的完整链；对应覆盖率为94.33%、17.49%和15.27%。这说明多数工单能找到设备，但大量处置经验尚未成为可复用的故障知识。</w:t>
      </w:r>
    </w:p>
    <w:p>
      <w:r>
        <w:t xml:space="preserve"/>
      </w:r>
    </w:p>
    <w:p>
      <w:pPr>
        <w:pStyle w:val="BodyText"/>
      </w:pPr>
      <w:r>
        <w:t xml:space="preserve">系统随后按“工单集中度×知识缺口×设备功能影响”排序，定位到脱敏设备`EQ-XBB841ED4011`。该设备属于安全防护设备类型`ET-X23C58B2E6F0`，累计121张工单，其中119张状态已关闭、2张待处理、120张未形成确认原因、121张处置描述缺少结构化差异、0张关联故障模式。数字员工将其标记为P2“闭而未解”知识债候选；P2为作品演示分级，生产等级需由企业风险规则标定。</w:t>
      </w:r>
    </w:p>
    <w:p>
      <w:r>
        <w:t xml:space="preserve"/>
      </w:r>
    </w:p>
    <w:p>
      <w:pPr>
        <w:pStyle w:val="BodyText"/>
      </w:pPr>
      <w:r>
        <w:t xml:space="preserve">GraphRAG沿“审计事件—设备实例—设备类型—设备功能—同类型设备—具体维修工单—故障模式”查询。证据显示同类型设备`EQ-X97058A25213`已有29张工单，其中4张关联维护因素类故障模式，并存在清洁疏通、润滑等具体处置记录。系统据此提出两条待验证候选：工装夹持部件异常、执行部件异常。两者均具有安全影响，但数据包未记录检测方法，因此候选置信不能替代现场检查。</w:t>
      </w:r>
    </w:p>
    <w:p>
      <w:r>
        <w:t xml:space="preserve"/>
      </w:r>
    </w:p>
    <w:p>
      <w:pPr>
        <w:pStyle w:val="BodyText"/>
      </w:pPr>
      <w:r>
        <w:t xml:space="preserve">企业主案例由数字员工形成六类飞书协同对象草案与协同轨迹：知识债事件、诊断任务、现场检查记录、复机确认、标准变更审批和平台回写审计回执。设备工程师检查清洁/堵塞、润滑、执行部件和工装夹持状态；质量/工艺岗位判断是否影响产品与是否允许复机；设备管理人员确认故障模式；知识管理员审批点检/保养标准变更。当前企业主案例验证主动审计与任务编排逻辑，在线Base写入回读核验对应总装仿真事件；只有生产部署完成审批和回读核对后，关系才写入企业现有设备平台与知识底座。该案例演示数字员工如何从存量数据主动发现隐性风险并转化为受控行动。</w:t>
      </w:r>
    </w:p>
    <w:p>
      <w:r>
        <w:t xml:space="preserve"/>
      </w:r>
    </w:p>
    <w:p>
      <w:pPr>
        <w:pStyle w:val="Heading1"/>
        <w:keepNext/>
      </w:pPr>
      <w:r>
        <w:t xml:space="preserve">二、实时风险仿真案例题设</w:t>
      </w:r>
    </w:p>
    <w:p>
      <w:r>
        <w:t xml:space="preserve"/>
      </w:r>
    </w:p>
    <w:p>
      <w:pPr>
        <w:pStyle w:val="BodyText"/>
      </w:pPr>
      <w:r>
        <w:t xml:space="preserve">工程仿真假设总装GA-12底盘合装工位的TQ-17智能拧紧枪在14:18至14:26连续出现M12关键螺栓扭矩偏低。仿真观测值为86.4N·m，设定工艺窗口为92-108N·m，影响VIN尾号8123-8125。该数值用于验证时序与闭环机制，不代表企业真实工艺参数。</w:t>
      </w:r>
    </w:p>
    <w:p>
      <w:r>
        <w:t xml:space="preserve"/>
      </w:r>
    </w:p>
    <w:p>
      <w:pPr>
        <w:pStyle w:val="Heading1"/>
        <w:keepNext/>
      </w:pPr>
      <w:r>
        <w:t xml:space="preserve">三、数字员工处置过程</w:t>
      </w:r>
    </w:p>
    <w:p>
      <w:r>
        <w:t xml:space="preserve"/>
      </w:r>
    </w:p>
    <w:p>
      <w:pPr>
        <w:pStyle w:val="ListParagraph"/>
      </w:pPr>
      <w:r>
        <w:t xml:space="preserve">1. 主动捕捉：知质·灵巡从参数流中发现扭矩越界，并识别同一设备、同一工位、同一紧固点连续3辆车重复出现，优先级高于单点报警。</w:t>
      </w:r>
    </w:p>
    <w:p>
      <w:r>
        <w:t xml:space="preserve"/>
      </w:r>
    </w:p>
    <w:p>
      <w:pPr>
        <w:pStyle w:val="ListParagraph"/>
      </w:pPr>
      <w:r>
        <w:t xml:space="preserve">2. 影响圈定：系统读取MES过站和设备时间窗，锁定VIN尾号8123-8125，并向上一次合格校验后的车辆扩展核查，形成车辆级风险清单。</w:t>
      </w:r>
    </w:p>
    <w:p>
      <w:r>
        <w:t xml:space="preserve"/>
      </w:r>
    </w:p>
    <w:p>
      <w:pPr>
        <w:pStyle w:val="ListParagraph"/>
      </w:pPr>
      <w:r>
        <w:t xml:space="preserve">3. 图谱检索：系统沿“总装一线-底盘合装-TQ-17-拧紧参数-预紧力风险-FMEA条目-历史案例C-009”路径检索，获取套筒磨损、校准偏移、角度补偿波动和复检规范。</w:t>
      </w:r>
    </w:p>
    <w:p>
      <w:r>
        <w:t xml:space="preserve"/>
      </w:r>
    </w:p>
    <w:p>
      <w:pPr>
        <w:pStyle w:val="ListParagraph"/>
      </w:pPr>
      <w:r>
        <w:t xml:space="preserve">4. 根因推理：EWMA在14:08先识别均值弱漂移，CUSUM、连续VIN和FMEA关系于14:16形成4/4共识，比下游路试或抽检理论显性点前置22分钟。关系图机制原型沿事件—工位—设备—参数—质量特性—历史案例路径输出来源轨迹，再形成Top-3假设。H1/H2/H3为稳定身份，Rank表示当前排序，Top-1仍绑定反证动作，不作为未经验证的事实。</w:t>
      </w:r>
    </w:p>
    <w:p>
      <w:r>
        <w:t xml:space="preserve"/>
      </w:r>
    </w:p>
    <w:p>
      <w:pPr>
        <w:pStyle w:val="ListParagraph"/>
      </w:pPr>
      <w:r>
        <w:t xml:space="preserve">5. 风险分级：如果只看单次数值越界，可归为P2；但该事件涉及关键安全连接件、连续车辆复现、角度补偿同步波动和历史案例匹配，因此升级为P1。</w:t>
      </w:r>
    </w:p>
    <w:p>
      <w:r>
        <w:t xml:space="preserve"/>
      </w:r>
    </w:p>
    <w:p>
      <w:pPr>
        <w:pStyle w:val="ListParagraph"/>
      </w:pPr>
      <w:r>
        <w:t xml:space="preserve">6. 反事实验证：执行“更换套筒+标准件复校”，在脱敏签署流程中提交标准件扭矩、角度残差、量具校准状态和仿真岗位。仿真观测值99.1N·m且残差回到基线后，Top-3由86%/57%/34%更新为93%/31%/14%；该结果仅验证后验更新机制，不能代替生产身份回读和影响VIN复检。</w:t>
      </w:r>
    </w:p>
    <w:p>
      <w:r>
        <w:t xml:space="preserve"/>
      </w:r>
    </w:p>
    <w:p>
      <w:pPr>
        <w:pStyle w:val="ListParagraph"/>
      </w:pPr>
      <w:r>
        <w:t xml:space="preserve">7. 协同执行：系统写入飞书多维表格，生成质量工程师、检测人员、设备工程师、班组长和质量知识管理员任务；质量工程师确认风险受理，检测人员签署实测，质量负责人审核关闭依据。</w:t>
      </w:r>
    </w:p>
    <w:p>
      <w:r>
        <w:t xml:space="preserve"/>
      </w:r>
    </w:p>
    <w:p>
      <w:pPr>
        <w:pStyle w:val="ListParagraph"/>
      </w:pPr>
      <w:r>
        <w:t xml:space="preserve">8. 关闭校验：源数据完整、影响范围锁定、物理复检通过、质量负责人确认、任务完成与知识变更草案入审五项分别保存证据状态。用户先验收任务与草案，关闭动作只读取状态，不会把未完成项反向置为通过。标准审批、主平台回写和有效性观察由独立知识债事件继续跟踪。</w:t>
      </w:r>
    </w:p>
    <w:p>
      <w:r>
        <w:t xml:space="preserve"/>
      </w:r>
    </w:p>
    <w:p>
      <w:pPr>
        <w:pStyle w:val="ListParagraph"/>
      </w:pPr>
      <w:r>
        <w:t xml:space="preserve">9. 知识回写：系统生成“扭矩偏低-角度补偿波动-套筒磨损/校准漂移-复检与校准措施”的PFMEA和控制计划变更草案，由授权岗位审核后发布。</w:t>
      </w:r>
    </w:p>
    <w:p>
      <w:r>
        <w:t xml:space="preserve"/>
      </w:r>
    </w:p>
    <w:p>
      <w:pPr>
        <w:pStyle w:val="Heading1"/>
        <w:keepNext/>
      </w:pPr>
      <w:r>
        <w:t xml:space="preserve">四、输出结果</w:t>
      </w:r>
    </w:p>
    <w:p>
      <w:r>
        <w:t xml:space="preserve"/>
      </w:r>
    </w:p>
    <w:p>
      <w:r>
        <w:rPr>
          <w:b/>
          <w:color w:val="9E1B32"/>
        </w:rPr>
        <w:t xml:space="preserve">风险等级：</w:t>
      </w:r>
      <w:r>
        <w:t xml:space="preserve">P1</w:t>
      </w:r>
    </w:p>
    <w:p>
      <w:r>
        <w:t xml:space="preserve"/>
      </w:r>
    </w:p>
    <w:p>
      <w:r>
        <w:rPr>
          <w:b/>
          <w:color w:val="9E1B32"/>
        </w:rPr>
        <w:t xml:space="preserve">影响范围：</w:t>
      </w:r>
      <w:r>
        <w:t xml:space="preserve">VIN尾号8123-8125，并核查上一次合格校验后的车辆</w:t>
      </w:r>
    </w:p>
    <w:p>
      <w:r>
        <w:t xml:space="preserve"/>
      </w:r>
    </w:p>
    <w:p>
      <w:r>
        <w:rPr>
          <w:b/>
          <w:color w:val="9E1B32"/>
        </w:rPr>
        <w:t xml:space="preserve">根因假设：</w:t>
      </w:r>
      <w:r>
        <w:t xml:space="preserve">套筒磨损叠加设备校准漂移</w:t>
      </w:r>
    </w:p>
    <w:p>
      <w:r>
        <w:t xml:space="preserve"/>
      </w:r>
    </w:p>
    <w:p>
      <w:r>
        <w:rPr>
          <w:b/>
          <w:color w:val="9E1B32"/>
        </w:rPr>
        <w:t xml:space="preserve">处置决策：</w:t>
      </w:r>
      <w:r>
        <w:t xml:space="preserve">暂停该点位自动放行，隔离影响车辆，完成复检、设备处理和首件确认后恢复</w:t>
      </w:r>
    </w:p>
    <w:p>
      <w:r>
        <w:t xml:space="preserve"/>
      </w:r>
    </w:p>
    <w:p>
      <w:r>
        <w:rPr>
          <w:b/>
          <w:color w:val="9E1B32"/>
        </w:rPr>
        <w:t xml:space="preserve">证据链：</w:t>
      </w:r>
      <w:r>
        <w:t xml:space="preserve">工艺窗口越界、同设备连续复现、角度补偿同步波动、历史案例C-009、FMEA条目、复检规范</w:t>
      </w:r>
    </w:p>
    <w:p>
      <w:r>
        <w:t xml:space="preserve"/>
      </w:r>
    </w:p>
    <w:p>
      <w:r>
        <w:rPr>
          <w:b/>
          <w:color w:val="9E1B32"/>
        </w:rPr>
        <w:t xml:space="preserve">飞书任务：</w:t>
      </w:r>
      <w:r>
        <w:t xml:space="preserve">车辆隔离复检、TQ-17校准、套筒检查更换、备用设备首件确认、FMEA控制计划回写</w:t>
      </w:r>
    </w:p>
    <w:p>
      <w:r>
        <w:t xml:space="preserve"/>
      </w:r>
    </w:p>
    <w:p>
      <w:pPr>
        <w:pStyle w:val="Heading1"/>
        <w:keepNext/>
      </w:pPr>
      <w:r>
        <w:t xml:space="preserve">五、案例价值</w:t>
      </w:r>
    </w:p>
    <w:p>
      <w:r>
        <w:t xml:space="preserve"/>
      </w:r>
    </w:p>
    <w:p>
      <w:pPr>
        <w:pStyle w:val="BodyText"/>
      </w:pPr>
      <w:r>
        <w:t xml:space="preserve">该案例体现数字员工与传统报警系统的差异。传统系统只能提示扭矩异常，知质·灵巡则能说明异常为什么严重、影响哪些车辆、证据来自哪里、谁需要处理、什么时候关闭、关闭后如何沉淀。它把质量管理从事后追溯推进到过程拦截。</w:t>
      </w:r>
    </w:p>
    <w:p>
      <w:r>
        <w:t xml:space="preserve"/>
      </w:r>
    </w:p>
    <w:p>
      <w:pPr>
        <w:pStyle w:val="Heading1"/>
        <w:keepNext/>
      </w:pPr>
      <w:r>
        <w:t xml:space="preserve">六、端到端系统执行记录</w:t>
      </w:r>
    </w:p>
    <w:p>
      <w:r>
        <w:t xml:space="preserve"/>
      </w:r>
    </w:p>
    <w:p>
      <w:pPr>
        <w:pStyle w:val="BodyText"/>
      </w:pPr>
      <w:r>
        <w:t xml:space="preserve">在线Base“赛力斯质量风险事件闭环”已完成13字段记录写入与回读。飞书任务GUID `f10d51e5-cc8e-4c71-9441-cd29a77feacf`和复盘文档`PjludNq8foBhkrxV8VQccsldneb`作为同一事件的对象样例保留。工作台将生产闭环拆为事件台账、处置任务、复检记录、设备维修、原生审批和复盘知识六对象；企业角色映射、审批实例和事件消费者完成后才能视为生产自动编排。</w:t>
      </w:r>
    </w:p>
    <w:p>
      <w:r>
        <w:t xml:space="preserve"/>
      </w:r>
    </w:p>
    <w:p>
      <w:pPr>
        <w:pStyle w:val="Heading1"/>
        <w:keepNext/>
      </w:pPr>
      <w:r>
        <w:t xml:space="preserve">七、异常分支与恢复</w:t>
      </w:r>
    </w:p>
    <w:p>
      <w:r>
        <w:t xml:space="preserve"/>
      </w:r>
    </w:p>
    <w:p>
      <w:pPr>
        <w:pStyle w:val="BodyText"/>
      </w:pPr>
      <w:r>
        <w:t xml:space="preserve">如果MES过站数据缺失，系统不输出确定影响VIN，只给出待核查时间窗并停止自动派单。如果设备参数时间戳与MES时钟偏差超过阈值，系统标记数据不可比并请求校时。如果复检结果与根因假设冲突，事件不关闭，原假设降权并重新检索零件批次、工具状态和工位节拍等替代路径。如果飞书接口超时，事件包保存在本地待同步队列，恢复后使用相同幂等键重试，避免重复任务。</w:t>
      </w:r>
    </w:p>
    <w:p>
      <w:r>
        <w:t xml:space="preserve"/>
      </w:r>
    </w:p>
    <w:p>
      <w:pPr>
        <w:pStyle w:val="Heading1"/>
        <w:keepNext/>
      </w:pPr>
      <w:r>
        <w:t xml:space="preserve">八、案例验收点</w:t>
      </w:r>
    </w:p>
    <w:p>
      <w:r>
        <w:t xml:space="preserve"/>
      </w:r>
    </w:p>
    <w:tbl>
      <w:tblPr>
        <w:tblStyle w:val="TableGrid"/>
        <w:tblW w:w="9360" w:type="dxa"/>
        <w:tblInd w:w="120" w:type="dxa"/>
        <w:tblLayout w:type="fixed"/>
        <w:tblBorders>
          <w:top w:val="single" w:sz="4" w:color="D9E0EA"/>
          <w:left w:val="single" w:sz="4" w:color="D9E0EA"/>
          <w:bottom w:val="single" w:sz="4" w:color="D9E0EA"/>
          <w:right w:val="single" w:sz="4" w:color="D9E0EA"/>
          <w:insideH w:val="single" w:sz="4" w:color="D9E0EA"/>
          <w:insideV w:val="single" w:sz="4" w:color="D9E0EA"/>
        </w:tblBorders>
      </w:tblPr>
      <w:tblGrid>
        <w:gridCol w:w="4680"/>
        <w:gridCol w:w="4680"/>
      </w:tblGrid>
      <w:tr>
        <w:tc>
          <w:tcPr>
            <w:tcW w:w="4680" w:type="dxa"/>
            <w:shd w:fill="F2F4F7"/>
            <w:tcMar>
              <w:top w:w="100" w:type="dxa"/>
              <w:bottom w:w="100" w:type="dxa"/>
              <w:start w:w="140" w:type="dxa"/>
              <w:end w:w="140" w:type="dxa"/>
            </w:tcMar>
          </w:tcPr>
          <w:p>
            <w:r>
              <w:rPr>
                <w:b/>
              </w:rPr>
              <w:t xml:space="preserve">验收项</w:t>
            </w:r>
          </w:p>
        </w:tc>
        <w:tc>
          <w:tcPr>
            <w:tcW w:w="4680" w:type="dxa"/>
            <w:shd w:fill="F2F4F7"/>
            <w:tcMar>
              <w:top w:w="100" w:type="dxa"/>
              <w:bottom w:w="100" w:type="dxa"/>
              <w:start w:w="140" w:type="dxa"/>
              <w:end w:w="140" w:type="dxa"/>
            </w:tcMar>
          </w:tcPr>
          <w:p>
            <w:r>
              <w:rPr>
                <w:b/>
              </w:rPr>
              <w:t xml:space="preserve">通过条件</w:t>
            </w:r>
          </w:p>
        </w:tc>
      </w:tr>
      <w:tr>
        <w:tc>
          <w:tcPr>
            <w:tcW w:w="4680" w:type="dxa"/>
            <w:tcMar>
              <w:top w:w="100" w:type="dxa"/>
              <w:bottom w:w="100" w:type="dxa"/>
              <w:start w:w="140" w:type="dxa"/>
              <w:end w:w="140" w:type="dxa"/>
            </w:tcMar>
          </w:tcPr>
          <w:p>
            <w:r>
              <w:t xml:space="preserve">主动触发</w:t>
            </w:r>
          </w:p>
        </w:tc>
        <w:tc>
          <w:tcPr>
            <w:tcW w:w="4680" w:type="dxa"/>
            <w:tcMar>
              <w:top w:w="100" w:type="dxa"/>
              <w:bottom w:w="100" w:type="dxa"/>
              <w:start w:w="140" w:type="dxa"/>
              <w:end w:w="140" w:type="dxa"/>
            </w:tcMar>
          </w:tcPr>
          <w:p>
            <w:r>
              <w:t xml:space="preserve">无需人员提问即可从连续越界生成风险线程</w:t>
            </w:r>
          </w:p>
        </w:tc>
      </w:tr>
      <w:tr>
        <w:tc>
          <w:tcPr>
            <w:tcW w:w="4680" w:type="dxa"/>
            <w:tcMar>
              <w:top w:w="100" w:type="dxa"/>
              <w:bottom w:w="100" w:type="dxa"/>
              <w:start w:w="140" w:type="dxa"/>
              <w:end w:w="140" w:type="dxa"/>
            </w:tcMar>
          </w:tcPr>
          <w:p>
            <w:r>
              <w:t xml:space="preserve">影响圈定</w:t>
            </w:r>
          </w:p>
        </w:tc>
        <w:tc>
          <w:tcPr>
            <w:tcW w:w="4680" w:type="dxa"/>
            <w:tcMar>
              <w:top w:w="100" w:type="dxa"/>
              <w:bottom w:w="100" w:type="dxa"/>
              <w:start w:w="140" w:type="dxa"/>
              <w:end w:w="140" w:type="dxa"/>
            </w:tcMar>
          </w:tcPr>
          <w:p>
            <w:r>
              <w:t xml:space="preserve">VIN8123-8125与设备、工位、时间窗形成可解释关系</w:t>
            </w:r>
          </w:p>
        </w:tc>
      </w:tr>
      <w:tr>
        <w:tc>
          <w:tcPr>
            <w:tcW w:w="4680" w:type="dxa"/>
            <w:tcMar>
              <w:top w:w="100" w:type="dxa"/>
              <w:bottom w:w="100" w:type="dxa"/>
              <w:start w:w="140" w:type="dxa"/>
              <w:end w:w="140" w:type="dxa"/>
            </w:tcMar>
          </w:tcPr>
          <w:p>
            <w:r>
              <w:t xml:space="preserve">证据解释</w:t>
            </w:r>
          </w:p>
        </w:tc>
        <w:tc>
          <w:tcPr>
            <w:tcW w:w="4680" w:type="dxa"/>
            <w:tcMar>
              <w:top w:w="100" w:type="dxa"/>
              <w:bottom w:w="100" w:type="dxa"/>
              <w:start w:w="140" w:type="dxa"/>
              <w:end w:w="140" w:type="dxa"/>
            </w:tcMar>
          </w:tcPr>
          <w:p>
            <w:r>
              <w:t xml:space="preserve">每个根因结论至少包含数据、时空、历史知识三类证据</w:t>
            </w:r>
          </w:p>
        </w:tc>
      </w:tr>
      <w:tr>
        <w:tc>
          <w:tcPr>
            <w:tcW w:w="4680" w:type="dxa"/>
            <w:tcMar>
              <w:top w:w="100" w:type="dxa"/>
              <w:bottom w:w="100" w:type="dxa"/>
              <w:start w:w="140" w:type="dxa"/>
              <w:end w:w="140" w:type="dxa"/>
            </w:tcMar>
          </w:tcPr>
          <w:p>
            <w:r>
              <w:t xml:space="preserve">反事实证据</w:t>
            </w:r>
          </w:p>
        </w:tc>
        <w:tc>
          <w:tcPr>
            <w:tcW w:w="4680" w:type="dxa"/>
            <w:tcMar>
              <w:top w:w="100" w:type="dxa"/>
              <w:bottom w:w="100" w:type="dxa"/>
              <w:start w:w="140" w:type="dxa"/>
              <w:end w:w="140" w:type="dxa"/>
            </w:tcMar>
          </w:tcPr>
          <w:p>
            <w:r>
              <w:t xml:space="preserve">动作、实测、准则和脱敏签署流程齐全后才更新后验</w:t>
            </w:r>
          </w:p>
        </w:tc>
      </w:tr>
      <w:tr>
        <w:tc>
          <w:tcPr>
            <w:tcW w:w="4680" w:type="dxa"/>
            <w:tcMar>
              <w:top w:w="100" w:type="dxa"/>
              <w:bottom w:w="100" w:type="dxa"/>
              <w:start w:w="140" w:type="dxa"/>
              <w:end w:w="140" w:type="dxa"/>
            </w:tcMar>
          </w:tcPr>
          <w:p>
            <w:r>
              <w:t xml:space="preserve">五门与闭环</w:t>
            </w:r>
          </w:p>
        </w:tc>
        <w:tc>
          <w:tcPr>
            <w:tcW w:w="4680" w:type="dxa"/>
            <w:tcMar>
              <w:top w:w="100" w:type="dxa"/>
              <w:bottom w:w="100" w:type="dxa"/>
              <w:start w:w="140" w:type="dxa"/>
              <w:end w:w="140" w:type="dxa"/>
            </w:tcMar>
          </w:tcPr>
          <w:p>
            <w:r>
              <w:t xml:space="preserve">关闭不修改前置证据；协同对象共享事件ID，中断幂等补偿；关闭后形成知识关系</w:t>
            </w:r>
          </w:p>
        </w:tc>
      </w:tr>
    </w:tbl>
    <w:p>
      <w:pPr>
        <w:pStyle w:val="SmallSpace"/>
      </w:pPr>
      <w:r>
        <w:t xml:space="preserve"/>
      </w:r>
    </w:p>
    <w:sectPr>
      <w:pgSz w:w="12240" w:h="15840"/>
      <w:pgMar w:top="1440" w:right="1440" w:bottom="1440" w:left="1440" w:header="708" w:footer="708" w:gutter="0"/>
    </w:sectPr>
  </w:body>
</w:document>
</file>

<file path=word/numbering.xml><?xml version="1.0" encoding="utf-8"?>
<w:numbering xmlns:w="http://schemas.openxmlformats.org/wordprocessingml/2006/main">
  <w:abstractNum w:abstractNumId="1">
    <w:lvl w:ilvl="0">
      <w:start w:val="1"/>
      <w:numFmt w:val="bullet"/>
      <w:lvlText w:val="•"/>
      <w:lvlJc w:val="left"/>
      <w:pPr>
        <w:tabs>
          <w:tab w:val="num" w:pos="720"/>
        </w:tabs>
        <w:ind w:left="720" w:hanging="360"/>
      </w:pPr>
    </w:lvl>
  </w:abstractNum>
  <w:abstractNum w:abstractNumId="2">
    <w:lvl w:ilvl="0">
      <w:start w:val="1"/>
      <w:numFmt w:val="decimal"/>
      <w:lvlText w:val="%1."/>
      <w:lvlJc w:val="left"/>
      <w:pPr>
        <w:tabs>
          <w:tab w:val="num" w:pos="720"/>
        </w:tabs>
        <w:ind w:left="720" w:hanging="360"/>
      </w:pPr>
    </w:lvl>
  </w:abstractNum>
  <w:num w:numId="1">
    <w:abstractNumId w:val="1"/>
  </w:num>
  <w:num w:numId="2">
    <w:abstractNumId w:val="2"/>
  </w:num>
</w:numbering>
</file>

<file path=word/styles.xml><?xml version="1.0" encoding="utf-8"?>
<w:styles xmlns:w="http://schemas.openxmlformats.org/wordprocessingml/2006/main">
  <w:style w:type="paragraph" w:default="1" w:styleId="Normal">
    <w:name w:val="Normal"/>
    <w:pPr>
      <w:spacing w:after="120" w:line="264" w:lineRule="auto"/>
    </w:pPr>
    <w:rPr>
      <w:rFonts w:ascii="Calibri" w:eastAsia="Microsoft YaHei" w:hAnsi="Calibri"/>
      <w:sz w:val="22"/>
      <w:szCs w:val="22"/>
      <w:color w:val="172033"/>
    </w:rPr>
  </w:style>
  <w:style w:type="paragraph" w:styleId="Title">
    <w:name w:val="Title"/>
    <w:pPr>
      <w:spacing w:before="0" w:after="160"/>
    </w:pPr>
    <w:rPr>
      <w:rFonts w:ascii="Calibri" w:eastAsia="Microsoft YaHei" w:hAnsi="Calibri"/>
      <w:b/>
      <w:sz w:val="36"/>
      <w:szCs w:val="36"/>
      <w:color w:val="171C22"/>
    </w:rPr>
  </w:style>
  <w:style w:type="paragraph" w:styleId="Subtitle">
    <w:name w:val="Subtitle"/>
    <w:pPr>
      <w:spacing w:after="240"/>
    </w:pPr>
    <w:rPr>
      <w:rFonts w:ascii="Calibri" w:eastAsia="Microsoft YaHei" w:hAnsi="Calibri"/>
      <w:sz w:val="22"/>
      <w:szCs w:val="22"/>
      <w:color w:val="657086"/>
    </w:rPr>
  </w:style>
  <w:style w:type="paragraph" w:styleId="Heading1">
    <w:name w:val="heading 1"/>
    <w:pPr>
      <w:keepNext/>
      <w:spacing w:before="320" w:after="160"/>
    </w:pPr>
    <w:rPr>
      <w:rFonts w:ascii="Calibri" w:eastAsia="Microsoft YaHei" w:hAnsi="Calibri"/>
      <w:b/>
      <w:sz w:val="32"/>
      <w:szCs w:val="32"/>
      <w:color w:val="9E1B32"/>
    </w:rPr>
  </w:style>
  <w:style w:type="paragraph" w:styleId="Heading2">
    <w:name w:val="heading 2"/>
    <w:pPr>
      <w:keepNext/>
      <w:spacing w:before="240" w:after="120"/>
    </w:pPr>
    <w:rPr>
      <w:rFonts w:ascii="Calibri" w:eastAsia="Microsoft YaHei" w:hAnsi="Calibri"/>
      <w:b/>
      <w:sz w:val="26"/>
      <w:szCs w:val="26"/>
      <w:color w:val="34424F"/>
    </w:rPr>
  </w:style>
  <w:style w:type="paragraph" w:styleId="BodyText">
    <w:name w:val="Body Text"/>
    <w:basedOn w:val="Normal"/>
    <w:pPr>
      <w:spacing w:after="120" w:line="264" w:lineRule="auto"/>
    </w:pPr>
  </w:style>
  <w:style w:type="paragraph" w:styleId="ListParagraph">
    <w:name w:val="List Paragraph"/>
    <w:basedOn w:val="Normal"/>
    <w:pPr>
      <w:ind w:left="720"/>
      <w:spacing w:after="120" w:line="280" w:lineRule="auto"/>
    </w:pPr>
  </w:style>
  <w:style w:type="paragraph" w:styleId="ReferenceList">
    <w:name w:val="Reference List"/>
    <w:basedOn w:val="Normal"/>
    <w:pPr>
      <w:ind w:left="360" w:hanging="240"/>
      <w:spacing w:after="50" w:line="220" w:lineRule="auto"/>
    </w:pPr>
    <w:rPr>
      <w:rFonts w:ascii="Calibri" w:eastAsia="Microsoft YaHei" w:hAnsi="Calibri"/>
      <w:sz w:val="18"/>
      <w:szCs w:val="18"/>
      <w:color w:val="172033"/>
    </w:rPr>
  </w:style>
  <w:style w:type="paragraph" w:styleId="SmallSpace">
    <w:name w:val="Small Space"/>
    <w:pPr>
      <w:spacing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