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方案创新亮点</w:t>
      </w:r>
    </w:p>
    <w:p>
      <w:pPr>
        <w:pStyle w:val="Subtitle"/>
      </w:pPr>
      <w:r>
        <w:t xml:space="preserve">赛力斯企业命题参赛材料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1900"/>
        <w:gridCol w:w="7460"/>
      </w:tblGrid>
      <w:tr>
        <w:tc>
          <w:tcPr>
            <w:tcW w:w="190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作品名称</w:t>
            </w:r>
          </w:p>
        </w:tc>
        <w:tc>
          <w:tcPr>
            <w:tcW w:w="746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知质·灵巡：面向新能源汽车智能工厂的质量风险主动管控数字员工</w:t>
            </w:r>
          </w:p>
        </w:tc>
      </w:tr>
      <w:tr>
        <w:tc>
          <w:tcPr>
            <w:tcW w:w="190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参赛队伍</w:t>
            </w:r>
          </w:p>
        </w:tc>
        <w:tc>
          <w:tcPr>
            <w:tcW w:w="746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智造知行队</w:t>
            </w:r>
          </w:p>
        </w:tc>
      </w:tr>
      <w:tr>
        <w:tc>
          <w:tcPr>
            <w:tcW w:w="190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数字员工</w:t>
            </w:r>
          </w:p>
        </w:tc>
        <w:tc>
          <w:tcPr>
            <w:tcW w:w="746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知质·灵巡</w:t>
            </w:r>
          </w:p>
        </w:tc>
      </w:tr>
      <w:tr>
        <w:tc>
          <w:tcPr>
            <w:tcW w:w="190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材料定位</w:t>
            </w:r>
          </w:p>
        </w:tc>
        <w:tc>
          <w:tcPr>
            <w:tcW w:w="746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设备质量风险主动识别、证据推理、飞书协同与复盘闭环</w:t>
            </w:r>
          </w:p>
        </w:tc>
      </w:tr>
    </w:tbl>
    <w:p>
      <w:pPr>
        <w:pStyle w:val="SmallSpace"/>
      </w:pPr>
      <w:r>
        <w:t xml:space="preserve"/>
      </w:r>
    </w:p>
    <w:p>
      <w:r>
        <w:t xml:space="preserve"/>
      </w:r>
    </w:p>
    <w:p>
      <w:pPr>
        <w:pStyle w:val="Heading1"/>
        <w:keepNext/>
      </w:pPr>
      <w:r>
        <w:t xml:space="preserve">一、从问答助手到岗位化数字员工</w:t>
      </w:r>
    </w:p>
    <w:p>
      <w:r>
        <w:t xml:space="preserve"/>
      </w:r>
    </w:p>
    <w:p>
      <w:pPr>
        <w:pStyle w:val="BodyText"/>
      </w:pPr>
      <w:r>
        <w:t xml:space="preserve">知质·灵巡不是被动回答问题的知识库，而是具备岗位职责的质量风险专员。它持续巡检设备告警、参数趋势和检测结果，发现异常后主动生成风险等级、证据链、影响范围和处置任务。最终放行仍由质量负责人确认，数字员工负责把证据和流程准备到可执行状态。</w:t>
      </w:r>
    </w:p>
    <w:p>
      <w:r>
        <w:t xml:space="preserve"/>
      </w:r>
    </w:p>
    <w:p>
      <w:pPr>
        <w:pStyle w:val="BodyText"/>
      </w:pPr>
      <w:r>
        <w:t xml:space="preserve">作品新增企业数据审计入口。基于赛事提供的625类设备、9673台设备实例、336项功能、1287条故障模式和406张工单，数字员工无需等待提问即可发现“工单已关闭、知识未闭环”的风险：工单—故障模式关联率17.49%，类型一致完整结构链15.27%。主案例设备121张工单中119张已关闭，但120张未形成确认原因、0张关联故障模式。这一现象被定义为“闭而未解”，可进入跨专业专项复核。</w:t>
      </w:r>
    </w:p>
    <w:p>
      <w:r>
        <w:t xml:space="preserve"/>
      </w:r>
    </w:p>
    <w:p>
      <w:pPr>
        <w:pStyle w:val="Heading1"/>
        <w:keepNext/>
      </w:pPr>
      <w:r>
        <w:t xml:space="preserve">二、一车一因果链</w:t>
      </w:r>
    </w:p>
    <w:p>
      <w:r>
        <w:t xml:space="preserve"/>
      </w:r>
    </w:p>
    <w:p>
      <w:pPr>
        <w:pStyle w:val="BodyText"/>
      </w:pPr>
      <w:r>
        <w:t xml:space="preserve">方案把一车一档从追溯记录升级为因果链载体。每辆受影响车辆都能回答四个问题：经过哪个工位，受哪个设备或参数影响，为什么需要隔离或复检，关闭依据是什么。这比单纯保存检测结果更接近质量工程现场的真实决策方式。</w:t>
      </w:r>
    </w:p>
    <w:p>
      <w:r>
        <w:t xml:space="preserve"/>
      </w:r>
    </w:p>
    <w:p>
      <w:pPr>
        <w:pStyle w:val="BodyText"/>
      </w:pPr>
      <w:r>
        <w:t xml:space="preserve">与“一车一因果链”并行，设备侧建立“一机一知识链”：设备类型、实例、功能、工单、故障模式、检查标准和复机结论保持版本化关系。两条链在设备影响到产品质量时汇合，使设备运维闭环和质量放行闭环相互校验。</w:t>
      </w:r>
    </w:p>
    <w:p>
      <w:r>
        <w:t xml:space="preserve"/>
      </w:r>
    </w:p>
    <w:p>
      <w:pPr>
        <w:pStyle w:val="Heading1"/>
        <w:keepNext/>
      </w:pPr>
      <w:r>
        <w:t xml:space="preserve">三、设备质量风险线程</w:t>
      </w:r>
    </w:p>
    <w:p>
      <w:r>
        <w:t xml:space="preserve"/>
      </w:r>
    </w:p>
    <w:p>
      <w:pPr>
        <w:pStyle w:val="BodyText"/>
      </w:pPr>
      <w:r>
        <w:t xml:space="preserve">通过数据准入且达到事件阈值的异常会生成风险线程，线程包含设备、工位、参数、阈值、VIN或零件批次、历史案例、根因假设、责任人、SLA、复检结果和复盘结论。</w:t>
      </w:r>
    </w:p>
    <w:p>
      <w:r>
        <w:t xml:space="preserve"/>
      </w:r>
    </w:p>
    <w:p>
      <w:pPr>
        <w:pStyle w:val="Heading1"/>
        <w:keepNext/>
      </w:pPr>
      <w:r>
        <w:t xml:space="preserve">四、主动式GraphRAG</w:t>
      </w:r>
    </w:p>
    <w:p>
      <w:r>
        <w:t xml:space="preserve"/>
      </w:r>
    </w:p>
    <w:p>
      <w:pPr>
        <w:pStyle w:val="BodyText"/>
      </w:pPr>
      <w:r>
        <w:t xml:space="preserve">普通RAG需要人员提问后检索文档，主动式GraphRAG由现场数据触发。系统先沿知识图谱确定设备、工序、质量特性和历史案例的关系，再从FMEA、SOP、维修记录和质检规范中补充证据，最后用因果护栏排除不合理解释。</w:t>
      </w:r>
    </w:p>
    <w:p>
      <w:r>
        <w:t xml:space="preserve"/>
      </w:r>
    </w:p>
    <w:p>
      <w:pPr>
        <w:pStyle w:val="BodyText"/>
      </w:pPr>
      <w:r>
        <w:t xml:space="preserve">主动不等于等到硬阈值报警后自动发消息。系统使用工艺规则、EWMA、CUSUM、指令-反馈残差和图谱关系形成多引擎共识，并用“下游检验理论发现时点-风险线程首次可派单时点”度量缺陷显性化前置量。演示四场景分别给出18至46分钟的脱敏仿真前置量，试点验收目标为中位数不少于10分钟。</w:t>
      </w:r>
    </w:p>
    <w:p>
      <w:r>
        <w:t xml:space="preserve"/>
      </w:r>
    </w:p>
    <w:p>
      <w:pPr>
        <w:pStyle w:val="Heading1"/>
        <w:keepNext/>
      </w:pPr>
      <w:r>
        <w:t xml:space="preserve">五、Top-3因果假设与反证闭环</w:t>
      </w:r>
    </w:p>
    <w:p>
      <w:r>
        <w:t xml:space="preserve"/>
      </w:r>
    </w:p>
    <w:p>
      <w:pPr>
        <w:pStyle w:val="BodyText"/>
      </w:pPr>
      <w:r>
        <w:t xml:space="preserve">系统不把模型相关性直接写成根因。每个Top-3假设同时展示支持证据、冲突证据和可以改变其置信度的反证动作，并经过时序、机理、复现、干预和数据完整五项护栏。处置结果若不支持Top-1，系统会降级该假设并提升其他候选，而不是为原答案补充说辞。</w:t>
      </w:r>
    </w:p>
    <w:p>
      <w:r>
        <w:t xml:space="preserve"/>
      </w:r>
    </w:p>
    <w:p>
      <w:pPr>
        <w:pStyle w:val="Heading1"/>
        <w:keepNext/>
      </w:pPr>
      <w:r>
        <w:t xml:space="preserve">六、确定性关闭门</w:t>
      </w:r>
    </w:p>
    <w:p>
      <w:r>
        <w:t xml:space="preserve"/>
      </w:r>
    </w:p>
    <w:p>
      <w:pPr>
        <w:pStyle w:val="BodyText"/>
      </w:pPr>
      <w:r>
        <w:t xml:space="preserve">源数据完整、影响范围锁定、物理复检通过、授权人员确认、任务完成且知识变更草案入审是现场处置关闭的五个结构化强制项。规则引擎负责判定，大模型只解释缺失项；知识债另由标准审批、主平台回写和有效性观察关闭，避免循环自证。</w:t>
      </w:r>
    </w:p>
    <w:p>
      <w:r>
        <w:t xml:space="preserve"/>
      </w:r>
    </w:p>
    <w:p>
      <w:pPr>
        <w:pStyle w:val="Heading1"/>
        <w:keepNext/>
      </w:pPr>
      <w:r>
        <w:t xml:space="preserve">七、飞书执行闭环设计</w:t>
      </w:r>
    </w:p>
    <w:p>
      <w:r>
        <w:t xml:space="preserve"/>
      </w:r>
    </w:p>
    <w:p>
      <w:pPr>
        <w:pStyle w:val="BodyText"/>
      </w:pPr>
      <w:r>
        <w:t xml:space="preserve">生产部署后，飞书不是简单通知渠道，而是执行层。Aily承接自然语言查询，多维表格承载事件与任务，自定义机器人推送风险卡片。质量、设备、工艺和班组角色在同一条事件线程中更新状态，关闭后复盘结果回写知识底座；当前作品以Base回读、任务/文档对象和编排合同验证接口边界。</w:t>
      </w:r>
    </w:p>
    <w:p>
      <w:r>
        <w:t xml:space="preserve"/>
      </w:r>
    </w:p>
    <w:p>
      <w:pPr>
        <w:pStyle w:val="Heading1"/>
        <w:keepNext/>
      </w:pPr>
      <w:r>
        <w:t xml:space="preserve">八、可复制的工况模板</w:t>
      </w:r>
    </w:p>
    <w:p>
      <w:r>
        <w:t xml:space="preserve"/>
      </w:r>
    </w:p>
    <w:p>
      <w:pPr>
        <w:pStyle w:val="BodyText"/>
      </w:pPr>
      <w:r>
        <w:t xml:space="preserve">总装拧紧、焊装点焊、涂装烘干和压铸冷却虽然工艺不同，但都能抽象为“设备-参数-质量特性-影响范围-处置任务-复盘知识”的通用模板。该模板可扩展到电驱装配、电池包气密、整车标定、供应链来料和路试问题闭环。</w:t>
      </w:r>
    </w:p>
    <w:p>
      <w:r>
        <w:t xml:space="preserve"/>
      </w:r>
    </w:p>
    <w:p>
      <w:pPr>
        <w:pStyle w:val="Heading1"/>
        <w:keepNext/>
      </w:pPr>
      <w:r>
        <w:t xml:space="preserve">九、业务指标明确</w:t>
      </w:r>
    </w:p>
    <w:p>
      <w:r>
        <w:t xml:space="preserve"/>
      </w:r>
    </w:p>
    <w:p>
      <w:pPr>
        <w:pStyle w:val="BodyText"/>
      </w:pPr>
      <w:r>
        <w:t xml:space="preserve">90天试点指标包括：异常定位时间较冻结人工基线下降40%-60%，P1任务派发小于1分钟，根因Top-3命中率不低于80%，关键工序追溯覆盖100%，知识债派发查准率不低于95%，主平台错误自动写入为0，审批与回写可追溯率100%。</w:t>
      </w:r>
    </w:p>
    <w:p>
      <w:r>
        <w:t xml:space="preserve"/>
      </w:r>
    </w:p>
    <w:p>
      <w:r>
        <w:br w:type="page"/>
      </w:r>
    </w:p>
    <w:p>
      <w:r>
        <w:t xml:space="preserve"/>
      </w:r>
    </w:p>
    <w:p>
      <w:pPr>
        <w:pStyle w:val="Heading1"/>
        <w:keepNext/>
      </w:pPr>
      <w:r>
        <w:t xml:space="preserve">十、区别于常规方案的组合创新</w:t>
      </w:r>
    </w:p>
    <w:p>
      <w:r>
        <w:t xml:space="preserve"/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fill="F2F4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</w:rPr>
              <w:t xml:space="preserve">维度</w:t>
            </w:r>
          </w:p>
        </w:tc>
        <w:tc>
          <w:tcPr>
            <w:tcW w:w="3120" w:type="dxa"/>
            <w:shd w:fill="F2F4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</w:rPr>
              <w:t xml:space="preserve">常规报警或问答方案</w:t>
            </w:r>
          </w:p>
        </w:tc>
        <w:tc>
          <w:tcPr>
            <w:tcW w:w="3120" w:type="dxa"/>
            <w:shd w:fill="F2F4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</w:rPr>
              <w:t xml:space="preserve">知质·灵巡</w:t>
            </w:r>
          </w:p>
        </w:tc>
      </w:tr>
      <w:tr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触发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人员查看报警或主动提问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设备、工艺、检测事件主动触发</w:t>
            </w:r>
          </w:p>
        </w:tc>
      </w:tr>
      <w:tr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上下文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单条报警或文本相似片段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本体约束子图、时序窗口、VIN/批次和文档证据</w:t>
            </w:r>
          </w:p>
        </w:tc>
      </w:tr>
      <w:tr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根因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单一结论或经验判断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Top-K可证伪假设、证据ID、置信度和反证条件</w:t>
            </w:r>
          </w:p>
        </w:tc>
      </w:tr>
      <w:tr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影响范围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人工跨系统查询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从最后合格点、MES过站和绑定关系自动圈定</w:t>
            </w:r>
          </w:p>
        </w:tc>
      </w:tr>
      <w:tr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执行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群消息和线下沟通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Base、卡片、任务、文档共享事件ID并回写状态</w:t>
            </w:r>
          </w:p>
        </w:tc>
      </w:tr>
      <w:tr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学习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工单状态关闭即结束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区分流程关闭与知识关闭，审批后更新图谱和主平台</w:t>
            </w:r>
          </w:p>
        </w:tc>
      </w:tr>
      <w:tr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治理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自动化边界模糊</w:t>
            </w:r>
          </w:p>
        </w:tc>
        <w:tc>
          <w:tcPr>
            <w:tcW w:w="312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P1人工确认、低置信降级、越权操作为0</w:t>
            </w:r>
          </w:p>
        </w:tc>
      </w:tr>
    </w:tbl>
    <w:p>
      <w:pPr>
        <w:pStyle w:val="SmallSpace"/>
      </w:pPr>
      <w:r>
        <w:t xml:space="preserve"/>
      </w:r>
    </w:p>
    <w:p>
      <w:r>
        <w:t xml:space="preserve"/>
      </w:r>
    </w:p>
    <w:p>
      <w:pPr>
        <w:pStyle w:val="Heading1"/>
        <w:keepNext/>
      </w:pPr>
      <w:r>
        <w:t xml:space="preserve">十一、三个核心机制</w:t>
      </w:r>
    </w:p>
    <w:p>
      <w:r>
        <w:t xml:space="preserve"/>
      </w:r>
    </w:p>
    <w:p>
      <w:pPr>
        <w:pStyle w:val="BodyText"/>
      </w:pPr>
      <w:r>
        <w:t xml:space="preserve">一车一因果链不是把更多字段塞进一车一档，而是把车辆经过的工位、设备版本、参数时间窗、风险关系、处置证据和最终放行结论组织为可查询的因果线程。它既支持事后追溯，也支持异常发生时向前圈定影响范围。</w:t>
      </w:r>
    </w:p>
    <w:p>
      <w:r>
        <w:t xml:space="preserve"/>
      </w:r>
    </w:p>
    <w:p>
      <w:pPr>
        <w:pStyle w:val="BodyText"/>
      </w:pPr>
      <w:r>
        <w:t xml:space="preserve">事件ID驱动的飞书执行织网把Base记录、任务幂等键、消息通知和复盘文档连接起来。飞书不只是提醒渠道，而是可审计的业务执行层；任务完成、附件上传和人工确认成为Agent重新判断关闭条件的输入。</w:t>
      </w:r>
    </w:p>
    <w:p>
      <w:r>
        <w:t xml:space="preserve"/>
      </w:r>
    </w:p>
    <w:p>
      <w:pPr>
        <w:pStyle w:val="BodyText"/>
      </w:pPr>
      <w:r>
        <w:t xml:space="preserve">“闭而未解”审计把已关闭工单重新按知识完整性排序。GraphRAG利用设备类型和功能实现同类设备证据迁移，但只生成候选和验证任务；现场检查、设备专家确认和质量审批决定是否写回故障模式或标准。该机制把大模型推断与企业主数据责任分开。</w:t>
      </w:r>
    </w:p>
    <w:p>
      <w:r>
        <w:t xml:space="preserve"/>
      </w:r>
    </w:p>
    <w:p>
      <w:pPr>
        <w:pStyle w:val="Heading1"/>
        <w:keepNext/>
      </w:pPr>
      <w:r>
        <w:t xml:space="preserve">十二、创新的可验证性</w:t>
      </w:r>
    </w:p>
    <w:p>
      <w:r>
        <w:t xml:space="preserve"/>
      </w:r>
    </w:p>
    <w:p>
      <w:pPr>
        <w:pStyle w:val="BodyText"/>
      </w:pPr>
      <w:r>
        <w:t xml:space="preserve">创新点均可通过作品直接验证：企业数据页可复算关联率并启动“闭而未解”审计；异常注入证明实时主动触发；带来源的关系图查询轨迹和证据抽屉证明多跳解释；一车一因果链证明影响圈定；安全门证明人机边界；Base写入回读证明在线数据链路，任务和复盘文档提供对象样例；独立“任务与知识回写验收”证明关闭动作不会循环自证。</w:t>
      </w:r>
    </w:p>
    <w:p>
      <w:r>
        <w:t xml:space="preserve"/>
      </w:r>
    </w:p>
    <w:p>
      <w:pPr>
        <w:pStyle w:val="Heading1"/>
        <w:keepNext/>
      </w:pPr>
      <w:r>
        <w:t xml:space="preserve">十三、反事实实验台与证据护照</w:t>
      </w:r>
    </w:p>
    <w:p>
      <w:r>
        <w:t xml:space="preserve"/>
      </w:r>
    </w:p>
    <w:p>
      <w:pPr>
        <w:pStyle w:val="BodyText"/>
      </w:pPr>
      <w:r>
        <w:t xml:space="preserve">反事实实验不是预置按钮直接改变结论，而是“选择动作—列出必填实测—绑定验收准则—脱敏签署流程—更新后验”的状态机。假设编号H1/H2/H3保持稳定，Rank单独变化；焊装二次回路案例使H2由Rank 2升为Rank 1。事件护照随信号、版本、干预、回写验收和关闭状态生成新哈希。</w:t>
      </w:r>
    </w:p>
    <w:p>
      <w:r>
        <w:t xml:space="preserve"/>
      </w:r>
    </w:p>
    <w:p>
      <w:pPr>
        <w:pStyle w:val="Heading1"/>
        <w:keepNext/>
      </w:pPr>
      <w:r>
        <w:t xml:space="preserve">十四、模式策略与断链恢复</w:t>
      </w:r>
    </w:p>
    <w:p>
      <w:r>
        <w:t xml:space="preserve"/>
      </w:r>
    </w:p>
    <w:p>
      <w:pPr>
        <w:pStyle w:val="BodyText"/>
      </w:pPr>
      <w:r>
        <w:t xml:space="preserve">L0禁止外部写入，浏览器不授予L3；数据过期冻结动作，图谱不可用禁止关闭，飞书中断进入Outbox。生产L3必须由服务端策略、职责分离和企业审批发布。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64" w:lineRule="auto"/>
    </w:pPr>
    <w:rPr>
      <w:rFonts w:ascii="Calibri" w:eastAsia="Microsoft YaHei" w:hAnsi="Calibri"/>
      <w:sz w:val="22"/>
      <w:szCs w:val="22"/>
      <w:color w:val="172033"/>
    </w:rPr>
  </w:style>
  <w:style w:type="paragraph" w:styleId="Title">
    <w:name w:val="Title"/>
    <w:pPr>
      <w:spacing w:before="0" w:after="160"/>
    </w:pPr>
    <w:rPr>
      <w:rFonts w:ascii="Calibri" w:eastAsia="Microsoft YaHei" w:hAnsi="Calibri"/>
      <w:b/>
      <w:sz w:val="36"/>
      <w:szCs w:val="36"/>
      <w:color w:val="171C22"/>
    </w:rPr>
  </w:style>
  <w:style w:type="paragraph" w:styleId="Subtitle">
    <w:name w:val="Subtitle"/>
    <w:pPr>
      <w:spacing w:after="240"/>
    </w:pPr>
    <w:rPr>
      <w:rFonts w:ascii="Calibri" w:eastAsia="Microsoft YaHei" w:hAnsi="Calibri"/>
      <w:sz w:val="22"/>
      <w:szCs w:val="22"/>
      <w:color w:val="657086"/>
    </w:rPr>
  </w:style>
  <w:style w:type="paragraph" w:styleId="Heading1">
    <w:name w:val="heading 1"/>
    <w:pPr>
      <w:keepNext/>
      <w:spacing w:before="320" w:after="160"/>
    </w:pPr>
    <w:rPr>
      <w:rFonts w:ascii="Calibri" w:eastAsia="Microsoft YaHei" w:hAnsi="Calibri"/>
      <w:b/>
      <w:sz w:val="32"/>
      <w:szCs w:val="32"/>
      <w:color w:val="9E1B32"/>
    </w:rPr>
  </w:style>
  <w:style w:type="paragraph" w:styleId="Heading2">
    <w:name w:val="heading 2"/>
    <w:pPr>
      <w:keepNext/>
      <w:spacing w:before="240" w:after="120"/>
    </w:pPr>
    <w:rPr>
      <w:rFonts w:ascii="Calibri" w:eastAsia="Microsoft YaHei" w:hAnsi="Calibri"/>
      <w:b/>
      <w:sz w:val="26"/>
      <w:szCs w:val="26"/>
      <w:color w:val="34424F"/>
    </w:rPr>
  </w:style>
  <w:style w:type="paragraph" w:styleId="BodyText">
    <w:name w:val="Body Text"/>
    <w:basedOn w:val="Normal"/>
    <w:pPr>
      <w:spacing w:after="120" w:line="264" w:lineRule="auto"/>
    </w:pPr>
  </w:style>
  <w:style w:type="paragraph" w:styleId="ListParagraph">
    <w:name w:val="List Paragraph"/>
    <w:basedOn w:val="Normal"/>
    <w:pPr>
      <w:ind w:left="720"/>
      <w:spacing w:after="120" w:line="280" w:lineRule="auto"/>
    </w:pPr>
  </w:style>
  <w:style w:type="paragraph" w:styleId="ReferenceList">
    <w:name w:val="Reference List"/>
    <w:basedOn w:val="Normal"/>
    <w:pPr>
      <w:ind w:left="360" w:hanging="240"/>
      <w:spacing w:after="50" w:line="220" w:lineRule="auto"/>
    </w:pPr>
    <w:rPr>
      <w:rFonts w:ascii="Calibri" w:eastAsia="Microsoft YaHei" w:hAnsi="Calibri"/>
      <w:sz w:val="18"/>
      <w:szCs w:val="18"/>
      <w:color w:val="172033"/>
    </w:rPr>
  </w:style>
  <w:style w:type="paragraph" w:styleId="SmallSpace">
    <w:name w:val="Small Space"/>
    <w:pPr>
      <w:spacing w:after="8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
</Relationships>
</file>