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企业数据与仿真交互案例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一、数字员工形象</w:t>
      </w:r>
    </w:p>
    <w:p>
      <w:r>
        <w:t xml:space="preserve"/>
      </w:r>
    </w:p>
    <w:p>
      <w:r>
        <w:rPr>
          <w:b/>
          <w:color w:val="9E1B32"/>
        </w:rPr>
        <w:t xml:space="preserve">名称：</w:t>
      </w:r>
      <w:r>
        <w:t xml:space="preserve">知质·灵巡</w:t>
      </w:r>
    </w:p>
    <w:p>
      <w:r>
        <w:t xml:space="preserve"/>
      </w:r>
    </w:p>
    <w:p>
      <w:r>
        <w:rPr>
          <w:b/>
          <w:color w:val="9E1B32"/>
        </w:rPr>
        <w:t xml:space="preserve">岗位：</w:t>
      </w:r>
      <w:r>
        <w:t xml:space="preserve">设备质量风险主动管控专员</w:t>
      </w:r>
    </w:p>
    <w:p>
      <w:r>
        <w:t xml:space="preserve"/>
      </w:r>
    </w:p>
    <w:p>
      <w:r>
        <w:rPr>
          <w:b/>
          <w:color w:val="9E1B32"/>
        </w:rPr>
        <w:t xml:space="preserve">职责：</w:t>
      </w:r>
      <w:r>
        <w:t xml:space="preserve">巡检设备参数与质量信号，识别隐性风险，调用知识底座完成根因推理，生成可解释证据链，组织飞书协同任务，跟踪关闭条件并回写经验知识。</w:t>
      </w:r>
    </w:p>
    <w:p>
      <w:r>
        <w:t xml:space="preserve"/>
      </w:r>
    </w:p>
    <w:p>
      <w:pPr>
        <w:pStyle w:val="BodyText"/>
      </w:pPr>
      <w:r>
        <w:t xml:space="preserve">边界：不直接替代质量负责人做最终放行；不绕过既有质量流程；不修改PLC、DCS或设备控制参数；所有P1事件必须保留责任人确认、复检记录和关闭依据。</w:t>
      </w:r>
    </w:p>
    <w:p>
      <w:r>
        <w:t xml:space="preserve"/>
      </w:r>
    </w:p>
    <w:p>
      <w:pPr>
        <w:pStyle w:val="Heading1"/>
        <w:keepNext/>
      </w:pPr>
      <w:r>
        <w:t xml:space="preserve">二、交互工作台</w:t>
      </w:r>
    </w:p>
    <w:p>
      <w:r>
        <w:t xml:space="preserve"/>
      </w:r>
    </w:p>
    <w:p>
      <w:pPr>
        <w:pStyle w:val="BodyText"/>
      </w:pPr>
      <w:r>
        <w:t xml:space="preserve">工作台包含一个企业脱敏数据审计和四个工程仿真工况。企业数据页展示625类设备、9673台实例、336项功能、1287条故障模式和406张工单的关系覆盖，并可启动“闭而未解”审计；实时管控页包含总装底盘合装拧紧、焊装侧围点焊、涂装中涂烘干、一体化压铸冷却，使用者可注入异常并观察风险等级、根因假设、影响范围、证据链和处置任务。</w:t>
      </w:r>
    </w:p>
    <w:p>
      <w:r>
        <w:t xml:space="preserve"/>
      </w:r>
    </w:p>
    <w:p>
      <w:pPr>
        <w:pStyle w:val="BodyText"/>
      </w:pPr>
      <w:r>
        <w:t xml:space="preserve">企业主案例锁定某安全防护设备121张工单：119张已关闭、120张未形成确认原因、0张关联故障模式。系统从同类型设备的已关联工单中提出两个维护因素候选，展示支持、冲突证据和待检查项，并明确保持人工确认，不把图谱相似性直接写成根因。</w:t>
      </w:r>
    </w:p>
    <w:p>
      <w:r>
        <w:t xml:space="preserve"/>
      </w:r>
    </w:p>
    <w:p>
      <w:pPr>
        <w:pStyle w:val="BodyText"/>
      </w:pPr>
      <w:r>
        <w:t xml:space="preserve">数字员工窗口提供六个追问入口：如何提前发现、为什么升级P1、因果结论是否可信、影响哪些VIN、如何派发飞书任务、关闭条件是什么。每个回答均由当前工况数据驱动，并显示E1/E2、规则包和知识版本四类依据按钮，可直接打开完整证据包。</w:t>
      </w:r>
    </w:p>
    <w:p>
      <w:r>
        <w:t xml:space="preserve"/>
      </w:r>
    </w:p>
    <w:p>
      <w:pPr>
        <w:pStyle w:val="Heading1"/>
        <w:keepNext/>
      </w:pPr>
      <w:r>
        <w:t xml:space="preserve">三、四类工况题设</w:t>
      </w:r>
    </w:p>
    <w:p>
      <w:r>
        <w:t xml:space="preserve"/>
      </w:r>
    </w:p>
    <w:p>
      <w:pPr>
        <w:pStyle w:val="BodyText"/>
      </w:pPr>
      <w:r>
        <w:t xml:space="preserve">总装拧紧：TQ-17智能拧紧枪在GA-12工位出现M12关键螺栓扭矩偏低，连续3辆车同点位越界。系统判断为关键安全连接件P1风险，生成车辆隔离、扭矩复检、设备校准和套筒检查任务。</w:t>
      </w:r>
    </w:p>
    <w:p>
      <w:r>
        <w:t xml:space="preserve"/>
      </w:r>
    </w:p>
    <w:p>
      <w:pPr>
        <w:pStyle w:val="BodyText"/>
      </w:pPr>
      <w:r>
        <w:t xml:space="preserve">焊装点焊：RB-42焊接机器人出现焊点电流低位漂移，电极帽寿命接近阈值。系统判断存在热输入不足和焊点强度风险，生成焊核抽检、电极帽更换、二次回路检查和参数复核任务。</w:t>
      </w:r>
    </w:p>
    <w:p>
      <w:r>
        <w:t xml:space="preserve"/>
      </w:r>
    </w:p>
    <w:p>
      <w:pPr>
        <w:pStyle w:val="BodyText"/>
      </w:pPr>
      <w:r>
        <w:t xml:space="preserve">涂装烘干：OV-03烘房三区温度低于工艺下限，风门开度反馈滞后。系统判断为P2观察与复检事件，生成影响车辆隔离、膜厚与附着力复测、风门和温控回路检查任务。</w:t>
      </w:r>
    </w:p>
    <w:p>
      <w:r>
        <w:t xml:space="preserve"/>
      </w:r>
    </w:p>
    <w:p>
      <w:pPr>
        <w:pStyle w:val="BodyText"/>
      </w:pPr>
      <w:r>
        <w:t xml:space="preserve">压铸冷却：DC-9000T压铸单元模温差扩大并伴随冷却水流量波动。系统判断为结构件缩孔和尺寸稳定性P1风险，生成同模次零件冻结、X光检测、尺寸复核和水路检查任务。</w:t>
      </w:r>
    </w:p>
    <w:p>
      <w:r>
        <w:t xml:space="preserve"/>
      </w:r>
    </w:p>
    <w:p>
      <w:pPr>
        <w:pStyle w:val="Heading1"/>
        <w:keepNext/>
      </w:pPr>
      <w:r>
        <w:t xml:space="preserve">四、飞书闭环</w:t>
      </w:r>
    </w:p>
    <w:p>
      <w:r>
        <w:t xml:space="preserve"/>
      </w:r>
    </w:p>
    <w:p>
      <w:pPr>
        <w:pStyle w:val="BodyText"/>
      </w:pPr>
      <w:r>
        <w:t xml:space="preserve">每个工况都会生成统一事件记录，页面按事件台账、处置任务、复检记录、设备维修、原生审批和复盘知识展示六对象状态。Base写入回读已在线核验；任务和文档为对象样例；机器人卡片、Aily、企业角色映射、原生审批和反向事件流待生产部署。</w:t>
      </w:r>
    </w:p>
    <w:p>
      <w:r>
        <w:t xml:space="preserve"/>
      </w:r>
    </w:p>
    <w:p>
      <w:pPr>
        <w:pStyle w:val="Heading1"/>
        <w:keepNext/>
      </w:pPr>
      <w:r>
        <w:t xml:space="preserve">五、展示价值</w:t>
      </w:r>
    </w:p>
    <w:p>
      <w:r>
        <w:t xml:space="preserve"/>
      </w:r>
    </w:p>
    <w:p>
      <w:pPr>
        <w:pStyle w:val="BodyText"/>
      </w:pPr>
      <w:r>
        <w:t xml:space="preserve">交互案例呈现数字员工如何发现异常、组织证据、派发任务、校验现场处置关闭，并把标准审批与主平台回写交给独立知识债线程。</w:t>
      </w:r>
    </w:p>
    <w:p>
      <w:r>
        <w:t xml:space="preserve"/>
      </w:r>
    </w:p>
    <w:p>
      <w:pPr>
        <w:pStyle w:val="Heading1"/>
        <w:keepNext/>
      </w:pPr>
      <w:r>
        <w:t xml:space="preserve">六、交互状态机</w:t>
      </w:r>
    </w:p>
    <w:p>
      <w:r>
        <w:t xml:space="preserve"/>
      </w:r>
    </w:p>
    <w:p>
      <w:pPr>
        <w:pStyle w:val="BodyText"/>
      </w:pPr>
      <w:r>
        <w:t xml:space="preserve">企业数据审计按照“快照准入—关系完整性审计—知识债识别—同类证据检索—跨专业检查—标准审批—主平台回写—观察关闭”推进，候选故障模式不能跳过现场确认。实时风险按照“主动感知—图谱收敛—证据推理—飞书执行—物理复检—授权关闭”推进，P1未人工确认时关闭按钮保持禁用。两条状态机共享事件ID、证据规范和权限策略，但采用不同金标准。</w:t>
      </w:r>
    </w:p>
    <w:p>
      <w:r>
        <w:t xml:space="preserve"/>
      </w:r>
    </w:p>
    <w:p>
      <w:pPr>
        <w:pStyle w:val="Heading1"/>
        <w:keepNext/>
      </w:pPr>
      <w:r>
        <w:t xml:space="preserve">七、页面交互明细</w:t>
      </w:r>
    </w:p>
    <w:p>
      <w:r>
        <w:t xml:space="preserve"/>
      </w:r>
    </w:p>
    <w:p>
      <w:pPr>
        <w:pStyle w:val="BodyText"/>
      </w:pPr>
      <w:r>
        <w:t xml:space="preserve">顶部生产态势根据选中工况动态点亮对应产线，时钟随回放阶段推进。企业数据页展示关系漏斗、知识债案例和审计轨迹；实时页展示风险、前置量、影响对象和趋势；回答区提供依据引用；处置区提供“验收任务与知识草案”。下方展示关系图路径、一车一因果链、稳定H编号与Rank重排、因果护栏、关闭门、六对象飞书轨迹和试点就绪门。</w:t>
      </w:r>
    </w:p>
    <w:p>
      <w:r>
        <w:t xml:space="preserve"/>
      </w:r>
    </w:p>
    <w:p>
      <w:pPr>
        <w:pStyle w:val="Heading1"/>
        <w:keepNext/>
      </w:pPr>
      <w:r>
        <w:t xml:space="preserve">八、演示数据边界</w:t>
      </w:r>
    </w:p>
    <w:p>
      <w:r>
        <w:t xml:space="preserve"/>
      </w:r>
    </w:p>
    <w:p>
      <w:pPr>
        <w:pStyle w:val="BodyText"/>
      </w:pPr>
      <w:r>
        <w:t xml:space="preserve">四类工况数值为工程化仿真参数，用于验证系统机制，不代表赛力斯真实工艺窗口。生产接入后，阈值、设备编码、质量等级、责任角色和关闭规则由企业质量、设备、工艺和IT共同确认。仿真案例保留足够的故障传播与协同复杂度，同时不暴露企业内部敏感数据。</w:t>
      </w:r>
    </w:p>
    <w:p>
      <w:r>
        <w:t xml:space="preserve"/>
      </w:r>
    </w:p>
    <w:p>
      <w:pPr>
        <w:pStyle w:val="Heading1"/>
        <w:keepNext/>
      </w:pPr>
      <w:r>
        <w:t xml:space="preserve">九、在线协同证明</w:t>
      </w:r>
    </w:p>
    <w:p>
      <w:r>
        <w:t xml:space="preserve"/>
      </w:r>
    </w:p>
    <w:p>
      <w:pPr>
        <w:pStyle w:val="BodyText"/>
      </w:pPr>
      <w:r>
        <w:t xml:space="preserve">总装拧紧案例的Base记录已完成在线写入回读；工作台中的任务和复盘文档链接提供对象样例。在线证据只证明相应对象或接口步骤，不替代企业应用身份、角色映射、审批回执和反向事件流验收。</w:t>
      </w:r>
    </w:p>
    <w:p>
      <w:r>
        <w:t xml:space="preserve"/>
      </w:r>
    </w:p>
    <w:p>
      <w:pPr>
        <w:pStyle w:val="Heading1"/>
        <w:keepNext/>
      </w:pPr>
      <w:r>
        <w:t xml:space="preserve">十、反事实实验与候选根因重排</w:t>
      </w:r>
    </w:p>
    <w:p>
      <w:r>
        <w:t xml:space="preserve"/>
      </w:r>
    </w:p>
    <w:p>
      <w:pPr>
        <w:pStyle w:val="BodyText"/>
      </w:pPr>
      <w:r>
        <w:t xml:space="preserve">每个场景包含两项干预。选择动作后，页面先展示必填实测项目和验收准则，不立即认定复检通过；提交脱敏实测流程后，系统更新Top-3后验、反证护栏、关闭门、事件护照和导出JSON。假设身份始终保持H1/H2/H3，排序另用Rank表示；焊装“二次回路阻抗阶跃检查”使H2由Rank 2升为Rank 1，展示系统能够依据新证据推翻初始排序。</w:t>
      </w:r>
    </w:p>
    <w:p>
      <w:r>
        <w:t xml:space="preserve"/>
      </w:r>
    </w:p>
    <w:p>
      <w:pPr>
        <w:pStyle w:val="Heading1"/>
        <w:keepNext/>
      </w:pPr>
      <w:r>
        <w:t xml:space="preserve">十一、模式策略与故障演练</w:t>
      </w:r>
    </w:p>
    <w:p>
      <w:r>
        <w:t xml:space="preserve"/>
      </w:r>
    </w:p>
    <w:p>
      <w:pPr>
        <w:pStyle w:val="BodyText"/>
      </w:pPr>
      <w:r>
        <w:t xml:space="preserve">顶部三段控制展示影子验证、协同执行和生产受控边界。影子模式下派单、确认、回写和关闭被策略服务禁用；点击生产受控不会授予L3，页面提示必须由企业审批和服务端策略发布。价值验证区可注入数据延迟、图谱不可用和飞书中断，验证冻结、规则只读和Outbox补偿路径。</w:t>
      </w:r>
    </w:p>
    <w:p>
      <w:r>
        <w:t xml:space="preserve"/>
      </w:r>
    </w:p>
    <w:p>
      <w:pPr>
        <w:pStyle w:val="BodyText"/>
      </w:pPr>
      <w:r>
        <w:t xml:space="preserve">职责链明确数字员工无放行权，质量、检测、设备/工艺和质量负责人分别签收隔离、实测、首件与关闭；演示身份均为脱敏数据。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