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赛力斯企业决赛方案｜知质·灵巡：面向超级工厂的质量风险主动管控AI数字员工</w:t>
      </w:r>
    </w:p>
    <w:p>
      <w:pPr>
        <w:pStyle w:val="Subtitle"/>
      </w:pPr>
      <w:r>
        <w:t xml:space="preserve">赛力斯企业命题参赛材料</w:t>
      </w:r>
    </w:p>
    <w:tbl>
      <w:tblPr>
        <w:tblStyle w:val="TableGrid"/>
        <w:tblW w:w="9360" w:type="dxa"/>
        <w:tblInd w:w="120" w:type="dxa"/>
        <w:tblLayout w:type="fixed"/>
        <w:tblBorders>
          <w:top w:val="single" w:sz="4" w:color="D9E0EA"/>
          <w:left w:val="single" w:sz="4" w:color="D9E0EA"/>
          <w:bottom w:val="single" w:sz="4" w:color="D9E0EA"/>
          <w:right w:val="single" w:sz="4" w:color="D9E0EA"/>
          <w:insideH w:val="single" w:sz="4" w:color="D9E0EA"/>
          <w:insideV w:val="single" w:sz="4" w:color="D9E0EA"/>
        </w:tblBorders>
      </w:tblPr>
      <w:tblGrid>
        <w:gridCol w:w="1900"/>
        <w:gridCol w:w="7460"/>
      </w:tblGrid>
      <w:tr>
        <w:tc>
          <w:tcPr>
            <w:tcW w:w="1900" w:type="dxa"/>
            <w:tcMar>
              <w:top w:w="100" w:type="dxa"/>
              <w:bottom w:w="100" w:type="dxa"/>
              <w:start w:w="140" w:type="dxa"/>
              <w:end w:w="140" w:type="dxa"/>
            </w:tcMar>
          </w:tcPr>
          <w:p>
            <w:r>
              <w:t xml:space="preserve">作品名称</w:t>
            </w:r>
          </w:p>
        </w:tc>
        <w:tc>
          <w:tcPr>
            <w:tcW w:w="7460" w:type="dxa"/>
            <w:tcMar>
              <w:top w:w="100" w:type="dxa"/>
              <w:bottom w:w="100" w:type="dxa"/>
              <w:start w:w="140" w:type="dxa"/>
              <w:end w:w="140" w:type="dxa"/>
            </w:tcMar>
          </w:tcPr>
          <w:p>
            <w:r>
              <w:t xml:space="preserve">知质·灵巡：面向新能源汽车智能工厂的质量风险主动管控数字员工</w:t>
            </w:r>
          </w:p>
        </w:tc>
      </w:tr>
      <w:tr>
        <w:tc>
          <w:tcPr>
            <w:tcW w:w="1900" w:type="dxa"/>
            <w:tcMar>
              <w:top w:w="100" w:type="dxa"/>
              <w:bottom w:w="100" w:type="dxa"/>
              <w:start w:w="140" w:type="dxa"/>
              <w:end w:w="140" w:type="dxa"/>
            </w:tcMar>
          </w:tcPr>
          <w:p>
            <w:r>
              <w:t xml:space="preserve">参赛队伍</w:t>
            </w:r>
          </w:p>
        </w:tc>
        <w:tc>
          <w:tcPr>
            <w:tcW w:w="7460" w:type="dxa"/>
            <w:tcMar>
              <w:top w:w="100" w:type="dxa"/>
              <w:bottom w:w="100" w:type="dxa"/>
              <w:start w:w="140" w:type="dxa"/>
              <w:end w:w="140" w:type="dxa"/>
            </w:tcMar>
          </w:tcPr>
          <w:p>
            <w:r>
              <w:t xml:space="preserve">智造知行队</w:t>
            </w:r>
          </w:p>
        </w:tc>
      </w:tr>
      <w:tr>
        <w:tc>
          <w:tcPr>
            <w:tcW w:w="1900" w:type="dxa"/>
            <w:tcMar>
              <w:top w:w="100" w:type="dxa"/>
              <w:bottom w:w="100" w:type="dxa"/>
              <w:start w:w="140" w:type="dxa"/>
              <w:end w:w="140" w:type="dxa"/>
            </w:tcMar>
          </w:tcPr>
          <w:p>
            <w:r>
              <w:t xml:space="preserve">数字员工</w:t>
            </w:r>
          </w:p>
        </w:tc>
        <w:tc>
          <w:tcPr>
            <w:tcW w:w="7460" w:type="dxa"/>
            <w:tcMar>
              <w:top w:w="100" w:type="dxa"/>
              <w:bottom w:w="100" w:type="dxa"/>
              <w:start w:w="140" w:type="dxa"/>
              <w:end w:w="140" w:type="dxa"/>
            </w:tcMar>
          </w:tcPr>
          <w:p>
            <w:r>
              <w:t xml:space="preserve">知质·灵巡</w:t>
            </w:r>
          </w:p>
        </w:tc>
      </w:tr>
      <w:tr>
        <w:tc>
          <w:tcPr>
            <w:tcW w:w="1900" w:type="dxa"/>
            <w:tcMar>
              <w:top w:w="100" w:type="dxa"/>
              <w:bottom w:w="100" w:type="dxa"/>
              <w:start w:w="140" w:type="dxa"/>
              <w:end w:w="140" w:type="dxa"/>
            </w:tcMar>
          </w:tcPr>
          <w:p>
            <w:r>
              <w:t xml:space="preserve">材料定位</w:t>
            </w:r>
          </w:p>
        </w:tc>
        <w:tc>
          <w:tcPr>
            <w:tcW w:w="7460" w:type="dxa"/>
            <w:tcMar>
              <w:top w:w="100" w:type="dxa"/>
              <w:bottom w:w="100" w:type="dxa"/>
              <w:start w:w="140" w:type="dxa"/>
              <w:end w:w="140" w:type="dxa"/>
            </w:tcMar>
          </w:tcPr>
          <w:p>
            <w:r>
              <w:t xml:space="preserve">设备质量风险主动识别、证据推理、飞书协同与复盘闭环</w:t>
            </w:r>
          </w:p>
        </w:tc>
      </w:tr>
    </w:tbl>
    <w:p>
      <w:pPr>
        <w:pStyle w:val="SmallSpace"/>
      </w:pPr>
      <w:r>
        <w:t xml:space="preserve"/>
      </w:r>
    </w:p>
    <w:p>
      <w:pPr>
        <w:jc w:val="center"/>
      </w:pPr>
      <w:r>
        <w:drawing>
          <wp:inline distT="0" distB="0" distL="0" distR="0">
            <wp:extent cx="6583680" cy="3703320"/>
            <wp:docPr id="1" name="质量风险主动管控总体架构"/>
            <wp:cNvGraphicFramePr>
              <a:graphicFrameLocks noChangeAspect="1"/>
            </wp:cNvGraphicFramePr>
            <a:graphic>
              <a:graphicData uri="http://schemas.openxmlformats.org/drawingml/2006/picture">
                <pic:pic>
                  <pic:nvPicPr>
                    <pic:cNvPr id="0" name="quality-ai-architecture.png"/>
                    <pic:cNvPicPr/>
                  </pic:nvPicPr>
                  <pic:blipFill>
                    <a:blip r:embed="rId3"/>
                    <a:stretch>
                      <a:fillRect/>
                    </a:stretch>
                  </pic:blipFill>
                  <pic:spPr>
                    <a:xfrm>
                      <a:off x="0" y="0"/>
                      <a:ext cx="6583680" cy="3703320"/>
                    </a:xfrm>
                    <a:prstGeom prst="rect">
                      <a:avLst/>
                    </a:prstGeom>
                  </pic:spPr>
                </pic:pic>
              </a:graphicData>
            </a:graphic>
          </wp:inline>
        </w:drawing>
      </w:r>
    </w:p>
    <w:p>
      <w:pPr>
        <w:pStyle w:val="ReferenceList"/>
      </w:pPr>
      <w:r>
        <w:t xml:space="preserve">图1  质量风险主动管控AI数字员工总体架构</w:t>
      </w:r>
    </w:p>
    <w:p>
      <w:r>
        <w:br w:type="page"/>
      </w:r>
    </w:p>
    <w:p>
      <w:r>
        <w:t xml:space="preserve"/>
      </w:r>
    </w:p>
    <w:p>
      <w:pPr>
        <w:pStyle w:val="Heading1"/>
        <w:keepNext/>
      </w:pPr>
      <w:r>
        <w:t xml:space="preserve">一、参赛方案信息卡</w:t>
      </w:r>
    </w:p>
    <w:p>
      <w:r>
        <w:t xml:space="preserve"/>
      </w:r>
    </w:p>
    <w:tbl>
      <w:tblPr>
        <w:tblStyle w:val="TableGrid"/>
        <w:tblW w:w="9360" w:type="dxa"/>
        <w:tblInd w:w="120" w:type="dxa"/>
        <w:tblLayout w:type="fixed"/>
        <w:tblBorders>
          <w:top w:val="single" w:sz="4" w:color="D9E0EA"/>
          <w:left w:val="single" w:sz="4" w:color="D9E0EA"/>
          <w:bottom w:val="single" w:sz="4" w:color="D9E0EA"/>
          <w:right w:val="single" w:sz="4" w:color="D9E0EA"/>
          <w:insideH w:val="single" w:sz="4" w:color="D9E0EA"/>
          <w:insideV w:val="single" w:sz="4" w:color="D9E0EA"/>
        </w:tblBorders>
      </w:tblPr>
      <w:tblGrid>
        <w:gridCol w:w="4680"/>
        <w:gridCol w:w="4680"/>
      </w:tblGrid>
      <w:tr>
        <w:tc>
          <w:tcPr>
            <w:tcW w:w="4680" w:type="dxa"/>
            <w:shd w:fill="F2F4F7"/>
            <w:tcMar>
              <w:top w:w="100" w:type="dxa"/>
              <w:bottom w:w="100" w:type="dxa"/>
              <w:start w:w="140" w:type="dxa"/>
              <w:end w:w="140" w:type="dxa"/>
            </w:tcMar>
          </w:tcPr>
          <w:p>
            <w:r>
              <w:rPr>
                <w:b/>
              </w:rPr>
              <w:t xml:space="preserve">项目</w:t>
            </w:r>
          </w:p>
        </w:tc>
        <w:tc>
          <w:tcPr>
            <w:tcW w:w="4680" w:type="dxa"/>
            <w:shd w:fill="F2F4F7"/>
            <w:tcMar>
              <w:top w:w="100" w:type="dxa"/>
              <w:bottom w:w="100" w:type="dxa"/>
              <w:start w:w="140" w:type="dxa"/>
              <w:end w:w="140" w:type="dxa"/>
            </w:tcMar>
          </w:tcPr>
          <w:p>
            <w:r>
              <w:rPr>
                <w:b/>
              </w:rPr>
              <w:t xml:space="preserve">填写内容</w:t>
            </w:r>
          </w:p>
        </w:tc>
      </w:tr>
      <w:tr>
        <w:tc>
          <w:tcPr>
            <w:tcW w:w="4680" w:type="dxa"/>
            <w:tcMar>
              <w:top w:w="100" w:type="dxa"/>
              <w:bottom w:w="100" w:type="dxa"/>
              <w:start w:w="140" w:type="dxa"/>
              <w:end w:w="140" w:type="dxa"/>
            </w:tcMar>
          </w:tcPr>
          <w:p>
            <w:r>
              <w:t xml:space="preserve">队名</w:t>
            </w:r>
          </w:p>
        </w:tc>
        <w:tc>
          <w:tcPr>
            <w:tcW w:w="4680" w:type="dxa"/>
            <w:tcMar>
              <w:top w:w="100" w:type="dxa"/>
              <w:bottom w:w="100" w:type="dxa"/>
              <w:start w:w="140" w:type="dxa"/>
              <w:end w:w="140" w:type="dxa"/>
            </w:tcMar>
          </w:tcPr>
          <w:p>
            <w:r>
              <w:t xml:space="preserve">智造知行队</w:t>
            </w:r>
          </w:p>
        </w:tc>
      </w:tr>
      <w:tr>
        <w:tc>
          <w:tcPr>
            <w:tcW w:w="4680" w:type="dxa"/>
            <w:tcMar>
              <w:top w:w="100" w:type="dxa"/>
              <w:bottom w:w="100" w:type="dxa"/>
              <w:start w:w="140" w:type="dxa"/>
              <w:end w:w="140" w:type="dxa"/>
            </w:tcMar>
          </w:tcPr>
          <w:p>
            <w:r>
              <w:t xml:space="preserve">命题</w:t>
            </w:r>
          </w:p>
        </w:tc>
        <w:tc>
          <w:tcPr>
            <w:tcW w:w="4680" w:type="dxa"/>
            <w:tcMar>
              <w:top w:w="100" w:type="dxa"/>
              <w:bottom w:w="100" w:type="dxa"/>
              <w:start w:w="140" w:type="dxa"/>
              <w:end w:w="140" w:type="dxa"/>
            </w:tcMar>
          </w:tcPr>
          <w:p>
            <w:r>
              <w:t xml:space="preserve">赛力斯超级工厂质量风险主动管控AI数字员工</w:t>
            </w:r>
          </w:p>
        </w:tc>
      </w:tr>
      <w:tr>
        <w:tc>
          <w:tcPr>
            <w:tcW w:w="4680" w:type="dxa"/>
            <w:tcMar>
              <w:top w:w="100" w:type="dxa"/>
              <w:bottom w:w="100" w:type="dxa"/>
              <w:start w:w="140" w:type="dxa"/>
              <w:end w:w="140" w:type="dxa"/>
            </w:tcMar>
          </w:tcPr>
          <w:p>
            <w:r>
              <w:t xml:space="preserve">一句话摘要</w:t>
            </w:r>
          </w:p>
        </w:tc>
        <w:tc>
          <w:tcPr>
            <w:tcW w:w="4680" w:type="dxa"/>
            <w:tcMar>
              <w:top w:w="100" w:type="dxa"/>
              <w:bottom w:w="100" w:type="dxa"/>
              <w:start w:w="140" w:type="dxa"/>
              <w:end w:w="140" w:type="dxa"/>
            </w:tcMar>
          </w:tcPr>
          <w:p>
            <w:r>
              <w:t xml:space="preserve">构建“知质·灵巡”质量数字员工，以设备-工艺-质量知识图谱为底座，结合GraphRAG、Autonomous Agent与飞书Aily/多维表格，实现从异常感知、证据推理、任务派发到复盘回写的闭环质量管控。</w:t>
            </w:r>
          </w:p>
        </w:tc>
      </w:tr>
      <w:tr>
        <w:tc>
          <w:tcPr>
            <w:tcW w:w="4680" w:type="dxa"/>
            <w:tcMar>
              <w:top w:w="100" w:type="dxa"/>
              <w:bottom w:w="100" w:type="dxa"/>
              <w:start w:w="140" w:type="dxa"/>
              <w:end w:w="140" w:type="dxa"/>
            </w:tcMar>
          </w:tcPr>
          <w:p>
            <w:r>
              <w:t xml:space="preserve">成员介绍&amp;分工</w:t>
            </w:r>
          </w:p>
        </w:tc>
        <w:tc>
          <w:tcPr>
            <w:tcW w:w="4680" w:type="dxa"/>
            <w:tcMar>
              <w:top w:w="100" w:type="dxa"/>
              <w:bottom w:w="100" w:type="dxa"/>
              <w:start w:w="140" w:type="dxa"/>
              <w:end w:w="140" w:type="dxa"/>
            </w:tcMar>
          </w:tcPr>
          <w:p>
            <w:r>
              <w:t xml:space="preserve">邓植斤：负责企业命题理解、公开资料调研、知识图谱与Agent方案设计、交互工作台搭建、飞书协同链路设计、文档与提交材料整理。</w:t>
            </w:r>
          </w:p>
        </w:tc>
      </w:tr>
      <w:tr>
        <w:tc>
          <w:tcPr>
            <w:tcW w:w="4680" w:type="dxa"/>
            <w:tcMar>
              <w:top w:w="100" w:type="dxa"/>
              <w:bottom w:w="100" w:type="dxa"/>
              <w:start w:w="140" w:type="dxa"/>
              <w:end w:w="140" w:type="dxa"/>
            </w:tcMar>
          </w:tcPr>
          <w:p>
            <w:r>
              <w:t xml:space="preserve">飞书能力</w:t>
            </w:r>
          </w:p>
        </w:tc>
        <w:tc>
          <w:tcPr>
            <w:tcW w:w="4680" w:type="dxa"/>
            <w:tcMar>
              <w:top w:w="100" w:type="dxa"/>
              <w:bottom w:w="100" w:type="dxa"/>
              <w:start w:w="140" w:type="dxa"/>
              <w:end w:w="140" w:type="dxa"/>
            </w:tcMar>
          </w:tcPr>
          <w:p>
            <w:r>
              <w:t xml:space="preserve">Base写入回读已在线核验；任务与文档提供对象样例；生产扩展接入Aily、卡片、审批与事件订阅。</w:t>
            </w:r>
          </w:p>
        </w:tc>
      </w:tr>
    </w:tbl>
    <w:p>
      <w:pPr>
        <w:pStyle w:val="SmallSpace"/>
      </w:pPr>
      <w:r>
        <w:t xml:space="preserve"/>
      </w:r>
    </w:p>
    <w:p>
      <w:r>
        <w:t xml:space="preserve"/>
      </w:r>
    </w:p>
    <w:p>
      <w:pPr>
        <w:pStyle w:val="Heading1"/>
        <w:keepNext/>
      </w:pPr>
      <w:r>
        <w:t xml:space="preserve">二、命题场景描述、问题描述及痛点说明</w:t>
      </w:r>
    </w:p>
    <w:p>
      <w:r>
        <w:t xml:space="preserve"/>
      </w:r>
    </w:p>
    <w:p>
      <w:pPr>
        <w:pStyle w:val="BodyText"/>
      </w:pPr>
      <w:r>
        <w:t xml:space="preserve">赛力斯超级工厂已具备高度自动化、数字化和智能检测基础。公开资料显示，工厂拥有大规模机器人与智能化设备协同，关键工序高度自动化，质量自动化管理系统能够完成全过程质量数据采集、异常特征提取、控线、异常设备定位、快速追溯和一车一档沉淀。华为智慧园区案例进一步显示，园区网络、AIoT检测点、云和数据资产汇聚为现场信号进入协同流程提供了条件。由此可见，本命题的关键不是从零建设数据采集系统，而是把既有数据能力转化为主动质量行动。</w:t>
      </w:r>
    </w:p>
    <w:p>
      <w:r>
        <w:t xml:space="preserve"/>
      </w:r>
    </w:p>
    <w:p>
      <w:pPr>
        <w:pStyle w:val="BodyText"/>
      </w:pPr>
      <w:r>
        <w:t xml:space="preserve">新能源汽车制造质量风险具有多源、多跳、跨岗位和滞后暴露特征。总装拧紧异常可能同时关联拧紧枪校准、套筒磨损、角度补偿、VIN时间窗、FMEA条目和复检规范；焊装焊点异常可能关联电极帽寿命、二次回路接触电阻、焊核直径和结构强度；涂装烘干异常可能关联风门、温控回路、膜厚和附着力；一体化压铸异常可能关联冷却水路、模温差、X光缩孔和尺寸稳定性。单一报警或单一看板难以解释这些链式关系。</w:t>
      </w:r>
    </w:p>
    <w:p>
      <w:r>
        <w:t xml:space="preserve"/>
      </w:r>
    </w:p>
    <w:p>
      <w:pPr>
        <w:pStyle w:val="BodyText"/>
      </w:pPr>
      <w:r>
        <w:t xml:space="preserve">现场痛点集中在三类断点。第一是发现断点：系统可以记录报警，却不一定能主动识别连续趋势、同工位复现、同设备重复和批次影响。第二是解释断点：报警能说明发生了什么，但很难稳定回答为什么严重、影响哪些车辆或零件、证据来自哪些系统。第三是执行断点：分析结论停留在报告或群聊中，责任人、时限、复检、维修、关闭和复盘没有形成结构化闭环。知质·灵巡正是围绕这三个断点设计。</w:t>
      </w:r>
    </w:p>
    <w:p>
      <w:r>
        <w:t xml:space="preserve"/>
      </w:r>
    </w:p>
    <w:p>
      <w:pPr>
        <w:pStyle w:val="Heading1"/>
        <w:keepNext/>
      </w:pPr>
      <w:r>
        <w:t xml:space="preserve">三、方案整体概述</w:t>
      </w:r>
    </w:p>
    <w:p>
      <w:r>
        <w:t xml:space="preserve"/>
      </w:r>
    </w:p>
    <w:p>
      <w:pPr>
        <w:pStyle w:val="BodyText"/>
      </w:pPr>
      <w:r>
        <w:t xml:space="preserve">赛事最新业务材料明确，企业已有设备标准建模、实例台账、运行监控、维修工单、故障模式、质量影响判断、复机确认和点巡检标准更新流程。脱敏数据包含625类设备、9673台实例、336项功能、1287条故障模式和406张工单；工单—故障模式关联率17.49%，类型一致完整结构链15.27%。其中某设备121张工单有119张已关闭，但120张未形成确认原因、0张关联故障模式。方案据此新增“闭而未解”主动审计：数字员工从存量工单发现知识债，借助同类型设备与功能关系提出待验证候选，通过飞书派发检查、复机与标准变更任务，经人工审批后受控回写现有设备平台。</w:t>
      </w:r>
    </w:p>
    <w:p>
      <w:r>
        <w:t xml:space="preserve"/>
      </w:r>
    </w:p>
    <w:p>
      <w:pPr>
        <w:pStyle w:val="BodyText"/>
      </w:pPr>
      <w:r>
        <w:t xml:space="preserve">方案命名为“知质·灵巡”。它是一名面向设备质量风险的主动管控数字员工，由“一套知识底座、一套推理链路、一套协同闭环”构成。</w:t>
      </w:r>
    </w:p>
    <w:p>
      <w:r>
        <w:t xml:space="preserve"/>
      </w:r>
    </w:p>
    <w:p>
      <w:pPr>
        <w:pStyle w:val="BodyText"/>
      </w:pPr>
      <w:r>
        <w:t xml:space="preserve">一套知识底座：用本体论统一描述产品、工艺、设备、传感器、参数、报警、缺陷模式、根因、FMEA、控制计划、VIN、零件批次、责任角色和处置任务，形成设备-过程-质量互联的知识图谱。</w:t>
      </w:r>
    </w:p>
    <w:p>
      <w:r>
        <w:t xml:space="preserve"/>
      </w:r>
    </w:p>
    <w:p>
      <w:pPr>
        <w:pStyle w:val="BodyText"/>
      </w:pPr>
      <w:r>
        <w:t xml:space="preserve">一套推理链路：当现场事件进入系统后，数据质量门、工艺规则、EWMA/CUSUM/响应残差和知识关系先形成多引擎共识；GraphRAG再沿图谱检索FMEA、SOP、维修记录、质检规范和历史案例；Agent最终生成缺陷显性化前置量、风险等级、影响范围、根因Top-3、支持/冲突证据、反证动作和处置任务。</w:t>
      </w:r>
    </w:p>
    <w:p>
      <w:r>
        <w:t xml:space="preserve"/>
      </w:r>
    </w:p>
    <w:p>
      <w:pPr>
        <w:pStyle w:val="BodyText"/>
      </w:pPr>
      <w:r>
        <w:t xml:space="preserve">一套协同闭环：当前Base已完成质量事件写入回读，任务与飞书文档提供同一事件的对象样例。生产环境由Aily承接查询，消息卡片推送风险，原生审批承接受理与放行，事件订阅将任务和复检状态回写知识底座。</w:t>
      </w:r>
    </w:p>
    <w:p>
      <w:r>
        <w:t xml:space="preserve"/>
      </w:r>
    </w:p>
    <w:p>
      <w:pPr>
        <w:pStyle w:val="Heading1"/>
        <w:keepNext/>
      </w:pPr>
      <w:r>
        <w:t xml:space="preserve">四、整体架构与核心功能模块</w:t>
      </w:r>
    </w:p>
    <w:p>
      <w:r>
        <w:t xml:space="preserve"/>
      </w:r>
    </w:p>
    <w:p>
      <w:pPr>
        <w:pStyle w:val="BodyText"/>
      </w:pPr>
      <w:r>
        <w:t xml:space="preserve">系统架构分为七层，在数据接入与知识底座之间增加事件与数据质量层，专门执行Schema、序列、时钟、量纲、校准和对象绑定准入。</w:t>
      </w:r>
    </w:p>
    <w:p>
      <w:r>
        <w:t xml:space="preserve"/>
      </w:r>
    </w:p>
    <w:p>
      <w:pPr>
        <w:pStyle w:val="ListParagraph"/>
      </w:pPr>
      <w:r>
        <w:t xml:space="preserve">1. 数据接入层：接入MES过站、QMS缺陷、SCADA/PLC设备报警、视觉检测、X光检测、设备点检、维修工单、FMEA、控制计划和飞书任务状态。</w:t>
      </w:r>
    </w:p>
    <w:p>
      <w:pPr>
        <w:pStyle w:val="ListParagraph"/>
      </w:pPr>
      <w:r>
        <w:t xml:space="preserve">2. 质量知识底座层：建设设备、工位、工序、参数、质量特性、缺陷模式、根因、VIN、零件批次、控制计划和任务的本体与知识图谱。</w:t>
      </w:r>
    </w:p>
    <w:p>
      <w:pPr>
        <w:pStyle w:val="ListParagraph"/>
      </w:pPr>
      <w:r>
        <w:t xml:space="preserve">3. 风险识别层：数据质量门先检查时间戳、采样率、缺失、量纲和对象绑定；工艺规则、EWMA/CUSUM/响应残差、设备寿命和图谱关系形成多引擎共识，计算缺陷显性化前置量并进行P1/P2/P3分级。</w:t>
      </w:r>
    </w:p>
    <w:p>
      <w:pPr>
        <w:pStyle w:val="ListParagraph"/>
      </w:pPr>
      <w:r>
        <w:t xml:space="preserve">4. GraphRAG推理层：沿图谱路径检索FMEA、SOP、维修记录、质检规范和历史8D，输出Top-3候选根因及支持证据、冲突证据、反证动作和置信度，并经过五项因果护栏。</w:t>
      </w:r>
    </w:p>
    <w:p>
      <w:pPr>
        <w:pStyle w:val="ListParagraph"/>
      </w:pPr>
      <w:r>
        <w:t xml:space="preserve">5. Agent执行层：生成风险等级、VIN/批次影响范围、复检项目、维修动作和飞书任务；现场处置五门满足后关闭现场事件，标准审批、主平台回写和有效性观察由知识债事件继续跟踪。</w:t>
      </w:r>
    </w:p>
    <w:p>
      <w:pPr>
        <w:pStyle w:val="ListParagraph"/>
      </w:pPr>
      <w:r>
        <w:t xml:space="preserve">6. Agent与策略层：控制状态迁移、运行模式、角色权限和五项独立关闭门，关闭动作不得反向制造通过状态。</w:t>
      </w:r>
    </w:p>
    <w:p>
      <w:pPr>
        <w:pStyle w:val="ListParagraph"/>
      </w:pPr>
      <w:r>
        <w:t xml:space="preserve">7. 飞书与治理层：Base写入回读已核验，任务与文档为对象样例；生产部署增加Aily、机器人卡片、原生审批与事件订阅，不触碰PLC控制与质量放行权限。</w:t>
      </w:r>
    </w:p>
    <w:p>
      <w:r>
        <w:t xml:space="preserve"/>
      </w:r>
    </w:p>
    <w:p>
      <w:pPr>
        <w:pStyle w:val="BodyText"/>
      </w:pPr>
      <w:r>
        <w:t xml:space="preserve">核心功能模块包括：弱信号主动捕捉、缺陷显性化前置量、多引擎共识、影响范围圈定、一车一因果链、根因Top-3与反证、可解释证据链、飞书任务派发、确定性关闭门、知识图谱回写和指标看板。首期覆盖总装拧紧、焊装点焊、涂装烘干和压铸冷却四类工况。</w:t>
      </w:r>
    </w:p>
    <w:p>
      <w:r>
        <w:t xml:space="preserve"/>
      </w:r>
    </w:p>
    <w:p>
      <w:pPr>
        <w:pStyle w:val="Heading1"/>
        <w:keepNext/>
      </w:pPr>
      <w:r>
        <w:t xml:space="preserve">五、方案优势与核心创新点</w:t>
      </w:r>
    </w:p>
    <w:p>
      <w:r>
        <w:t xml:space="preserve"/>
      </w:r>
    </w:p>
    <w:p>
      <w:pPr>
        <w:pStyle w:val="Heading2"/>
        <w:keepNext/>
      </w:pPr>
      <w:r>
        <w:t xml:space="preserve">1. 技术创新：主动式GraphRAG</w:t>
      </w:r>
    </w:p>
    <w:p>
      <w:r>
        <w:t xml:space="preserve"/>
      </w:r>
    </w:p>
    <w:p>
      <w:pPr>
        <w:pStyle w:val="BodyText"/>
      </w:pPr>
      <w:r>
        <w:t xml:space="preserve">常规RAG通常等待人员提问后检索文档。知质·灵巡由现场事件触发，先沿知识图谱确定设备、工序、质量特性和历史案例关系，再从FMEA、SOP、维修记录和质检规范中补充证据，并通过因果护栏排除伪相关。它解决的是“现场风险为什么成立”，而不只是“文档里有没有相关内容”。</w:t>
      </w:r>
    </w:p>
    <w:p>
      <w:r>
        <w:t xml:space="preserve"/>
      </w:r>
    </w:p>
    <w:p>
      <w:pPr>
        <w:pStyle w:val="Heading2"/>
        <w:keepNext/>
      </w:pPr>
      <w:r>
        <w:t xml:space="preserve">2. 模式创新：岗位化数字员工</w:t>
      </w:r>
    </w:p>
    <w:p>
      <w:r>
        <w:t xml:space="preserve"/>
      </w:r>
    </w:p>
    <w:p>
      <w:pPr>
        <w:pStyle w:val="BodyText"/>
      </w:pPr>
      <w:r>
        <w:t xml:space="preserve">知质·灵巡具备质量风险专员的职责边界。它可以自动生成隔离建议、复检任务、维修动作和证据链，但不替代质量负责人放行，不直接修改PLC/DCS或设备控制参数。这样的权限边界更符合智能制造现场渐进落地要求。</w:t>
      </w:r>
    </w:p>
    <w:p>
      <w:r>
        <w:t xml:space="preserve"/>
      </w:r>
    </w:p>
    <w:p>
      <w:pPr>
        <w:pStyle w:val="Heading2"/>
        <w:keepNext/>
      </w:pPr>
      <w:r>
        <w:t xml:space="preserve">3. 流程创新：设备质量风险线程</w:t>
      </w:r>
    </w:p>
    <w:p>
      <w:r>
        <w:t xml:space="preserve"/>
      </w:r>
    </w:p>
    <w:p>
      <w:pPr>
        <w:pStyle w:val="BodyText"/>
      </w:pPr>
      <w:r>
        <w:t xml:space="preserve">每一次异常不再是孤立报警，而是一条贯穿设备、参数、VIN或零件批次、历史案例、根因假设、责任人、SLA、复检结果和复盘结论的风险线程。它把分散在报警系统、表格、群聊和个人经验中的质量知识结构化沉淀。</w:t>
      </w:r>
    </w:p>
    <w:p>
      <w:r>
        <w:t xml:space="preserve"/>
      </w:r>
    </w:p>
    <w:p>
      <w:pPr>
        <w:pStyle w:val="Heading2"/>
        <w:keepNext/>
      </w:pPr>
      <w:r>
        <w:t xml:space="preserve">4. 业务创新：一车一因果链</w:t>
      </w:r>
    </w:p>
    <w:p>
      <w:r>
        <w:t xml:space="preserve"/>
      </w:r>
    </w:p>
    <w:p>
      <w:pPr>
        <w:pStyle w:val="BodyText"/>
      </w:pPr>
      <w:r>
        <w:t xml:space="preserve">赛力斯已有一车一档基础，方案进一步将其升级为质量推理载体。每辆受影响车辆都能说明经过哪个工位、受到哪个设备或参数影响、依据哪些证据处置、关闭条件是什么。质量追溯从档案查询升级为主动管控。</w:t>
      </w:r>
    </w:p>
    <w:p>
      <w:r>
        <w:t xml:space="preserve"/>
      </w:r>
    </w:p>
    <w:p>
      <w:pPr>
        <w:pStyle w:val="Heading1"/>
        <w:keepNext/>
      </w:pPr>
      <w:r>
        <w:t xml:space="preserve">六、AI应用深度与飞书能力使用</w:t>
      </w:r>
    </w:p>
    <w:p>
      <w:r>
        <w:t xml:space="preserve"/>
      </w:r>
    </w:p>
    <w:p>
      <w:pPr>
        <w:pStyle w:val="BodyText"/>
      </w:pPr>
      <w:r>
        <w:t xml:space="preserve">方案中的AI进入质量管控核心链路，而不是附着在边角流程上的文本总结。</w:t>
      </w:r>
    </w:p>
    <w:p>
      <w:r>
        <w:t xml:space="preserve"/>
      </w:r>
    </w:p>
    <w:p>
      <w:pPr>
        <w:pStyle w:val="BodyText"/>
      </w:pPr>
      <w:r>
        <w:t xml:space="preserve">GraphRAG负责多跳证据组织，解决设备、工艺、质量、FMEA和历史案例之间的复杂关系检索。Autonomous Agent负责任务编排，按照观察、研判、检索、推理、行动、复盘的循环推进事件闭环。飞书Aily承接自然语言入口，支持质量工程师查询事件、更新任务、提交复盘。多维表格承载质量事件表、处置任务表、复检记录表、设备维修表、审批记录表和复盘知识表。机器人卡片负责将P1/P2风险推送到质量、设备、工艺和班组群。</w:t>
      </w:r>
    </w:p>
    <w:p>
      <w:r>
        <w:t xml:space="preserve"/>
      </w:r>
    </w:p>
    <w:p>
      <w:pPr>
        <w:pStyle w:val="BodyText"/>
      </w:pPr>
      <w:r>
        <w:t xml:space="preserve">飞书链路示例：TQ-17拧紧枪事件已完成Base写入回读，并保留责任任务与复盘文档对象样例。生产接入时，机器人推送风险卡片，Aily查询证据链，原生审批记录风险受理与放行，任务和记录事件把车辆隔离、复检、设备校准和知识草案状态同步至Base。</w:t>
      </w:r>
    </w:p>
    <w:p>
      <w:r>
        <w:t xml:space="preserve"/>
      </w:r>
    </w:p>
    <w:p>
      <w:pPr>
        <w:pStyle w:val="Heading1"/>
        <w:keepNext/>
      </w:pPr>
      <w:r>
        <w:t xml:space="preserve">七、双案例：企业数据审计与总装拧紧风险闭环</w:t>
      </w:r>
    </w:p>
    <w:p>
      <w:r>
        <w:t xml:space="preserve"/>
      </w:r>
    </w:p>
    <w:p>
      <w:pPr>
        <w:pStyle w:val="Heading2"/>
        <w:keepNext/>
      </w:pPr>
      <w:r>
        <w:t xml:space="preserve">案例A：121张工单中的知识债</w:t>
      </w:r>
    </w:p>
    <w:p>
      <w:r>
        <w:t xml:space="preserve"/>
      </w:r>
    </w:p>
    <w:p>
      <w:pPr>
        <w:pStyle w:val="BodyText"/>
      </w:pPr>
      <w:r>
        <w:t xml:space="preserve">企业脱敏数据审计定位到`EQ-XBB841ED4011`：121张工单中119张已关闭、120张未形成确认原因、0张关联故障模式。GraphRAG从设备类型、功能和同类型设备工单中提出工装夹持部件与执行部件两个维护因素候选，并同时展示检测方法缺失这一冲突。系统只生成抽样复核、现场检查、故障模式确认、复机确认和标准变更任务；经设备与质量岗位审批后，服务端连接器才可回写现有设备平台。</w:t>
      </w:r>
    </w:p>
    <w:p>
      <w:r>
        <w:t xml:space="preserve"/>
      </w:r>
    </w:p>
    <w:p>
      <w:pPr>
        <w:pStyle w:val="Heading2"/>
        <w:keepNext/>
      </w:pPr>
      <w:r>
        <w:t xml:space="preserve">案例B：总装拧紧实时风险仿真</w:t>
      </w:r>
    </w:p>
    <w:p>
      <w:r>
        <w:t xml:space="preserve"/>
      </w:r>
    </w:p>
    <w:p>
      <w:pPr>
        <w:pStyle w:val="BodyText"/>
      </w:pPr>
      <w:r>
        <w:t xml:space="preserve">工程仿真假设TQ-17智能拧紧枪在14:18至14:26连续出现M12关键螺栓扭矩偏低，仿真观测值86.4N·m，设定工艺窗口92-108N·m，影响VIN尾号8123-8125。该数值不代表企业真实工艺参数。</w:t>
      </w:r>
    </w:p>
    <w:p>
      <w:r>
        <w:t xml:space="preserve"/>
      </w:r>
    </w:p>
    <w:p>
      <w:r>
        <w:rPr>
          <w:b/>
          <w:color w:val="9E1B32"/>
        </w:rPr>
        <w:t xml:space="preserve">数字员工处理过程：</w:t>
      </w:r>
      <w:r>
        <w:t xml:space="preserve"/>
      </w:r>
    </w:p>
    <w:p>
      <w:r>
        <w:t xml:space="preserve"/>
      </w:r>
    </w:p>
    <w:p>
      <w:pPr>
        <w:pStyle w:val="ListParagraph"/>
      </w:pPr>
      <w:r>
        <w:t xml:space="preserve">1. 主动捕捉：EWMA识别均值弱漂移，CUSUM、连续VIN与FMEA关系形成4/4共识，相对下游理论显性点前置22分钟。</w:t>
      </w:r>
    </w:p>
    <w:p>
      <w:pPr>
        <w:pStyle w:val="ListParagraph"/>
      </w:pPr>
      <w:r>
        <w:t xml:space="preserve">2. 影响圈定：读取MES过站记录，锁定VIN尾号8123-8125，并向上一次合格校验时间窗扩展核查。</w:t>
      </w:r>
    </w:p>
    <w:p>
      <w:pPr>
        <w:pStyle w:val="ListParagraph"/>
      </w:pPr>
      <w:r>
        <w:t xml:space="preserve">3. 图谱检索：沿“总装一线-底盘合装-TQ-17-拧紧参数-预紧力风险-FMEA条目-历史案例C-009”路径检索证据。</w:t>
      </w:r>
    </w:p>
    <w:p>
      <w:pPr>
        <w:pStyle w:val="ListParagraph"/>
      </w:pPr>
      <w:r>
        <w:t xml:space="preserve">4. 根因推理：输出套筒磨损叠加校准漂移86%、螺纹摩擦系数异常57%、配方错配34%三个候选；Top-1同时保留套筒账面寿命未到阈值的冲突证据，并生成更换套筒、标准件复校的反证动作。</w:t>
      </w:r>
    </w:p>
    <w:p>
      <w:pPr>
        <w:pStyle w:val="ListParagraph"/>
      </w:pPr>
      <w:r>
        <w:t xml:space="preserve">5. 协同执行：生成车辆隔离、扭矩复检、设备校准、套筒检查、备用设备首件确认和FMEA回写任务。</w:t>
      </w:r>
    </w:p>
    <w:p>
      <w:pPr>
        <w:pStyle w:val="ListParagraph"/>
      </w:pPr>
      <w:r>
        <w:t xml:space="preserve">6. 分层关闭：源数据完整、范围锁定、物理复检、授权确认、任务完成与知识草案入审五项通过后，现场处置可关闭；标准审批、主平台回写和有效性观察由独立知识债事件继续跟踪。</w:t>
      </w:r>
    </w:p>
    <w:p>
      <w:r>
        <w:t xml:space="preserve"/>
      </w:r>
    </w:p>
    <w:p>
      <w:pPr>
        <w:pStyle w:val="BodyText"/>
      </w:pPr>
      <w:r>
        <w:t xml:space="preserve">该案例展示了方案与普通报警系统的差异：普通系统只能说明扭矩异常，知质·灵巡能够回答为什么严重、影响哪些车辆、证据来自哪里、谁需要处理、何时关闭、关闭后如何学习。</w:t>
      </w:r>
    </w:p>
    <w:p>
      <w:r>
        <w:t xml:space="preserve"/>
      </w:r>
    </w:p>
    <w:p>
      <w:pPr>
        <w:pStyle w:val="Heading1"/>
        <w:keepNext/>
      </w:pPr>
      <w:r>
        <w:t xml:space="preserve">八、互动工作台成果</w:t>
      </w:r>
    </w:p>
    <w:p>
      <w:r>
        <w:t xml:space="preserve"/>
      </w:r>
    </w:p>
    <w:p>
      <w:pPr>
        <w:pStyle w:val="BodyText"/>
      </w:pPr>
      <w:r>
        <w:t xml:space="preserve">项目已形成可直接打开的互动工作台，入口为`app/index.html`。工作台包含企业脱敏数据审计和四类工程仿真工况。</w:t>
      </w:r>
    </w:p>
    <w:p>
      <w:r>
        <w:t xml:space="preserve"/>
      </w:r>
    </w:p>
    <w:p>
      <w:pPr>
        <w:pStyle w:val="BodyText"/>
      </w:pPr>
      <w:r>
        <w:t xml:space="preserve">工作台包含八个关键视图：企业数据关系漏斗与“闭而未解”审计、企业现场态势与四工况队列、缺陷显性化前预警窗、数字员工对话与证据引用、GraphRAG路径、一车一因果链、Top-3反事实与关闭门、飞书执行和行动时间线。</w:t>
      </w:r>
    </w:p>
    <w:p>
      <w:r>
        <w:t xml:space="preserve"/>
      </w:r>
    </w:p>
    <w:p>
      <w:pPr>
        <w:pStyle w:val="BodyText"/>
      </w:pPr>
      <w:r>
        <w:t xml:space="preserve">工作台输出统一事件记录，字段包括事件ID、风险等级、设备、工位、异常参数、工艺窗口、影响范围、根因假设、处置决策、证据链、任务状态和Aily入口。在线飞书已完成13字段Base记录写入回读；任务和复盘文档链接作为对象样例；企业身份、角色映射和事件消费者待生产部署。</w:t>
      </w:r>
    </w:p>
    <w:p>
      <w:r>
        <w:t xml:space="preserve"/>
      </w:r>
    </w:p>
    <w:p>
      <w:pPr>
        <w:pStyle w:val="Heading1"/>
        <w:keepNext/>
      </w:pPr>
      <w:r>
        <w:t xml:space="preserve">九、业务价值与量化收益</w:t>
      </w:r>
    </w:p>
    <w:p>
      <w:r>
        <w:t xml:space="preserve"/>
      </w:r>
    </w:p>
    <w:p>
      <w:pPr>
        <w:pStyle w:val="BodyText"/>
      </w:pPr>
      <w:r>
        <w:t xml:space="preserve">首期价值采用可核算口径，只统计被现场采纳并完成闭环的事件。</w:t>
      </w:r>
    </w:p>
    <w:p>
      <w:r>
        <w:t xml:space="preserve"/>
      </w:r>
    </w:p>
    <w:tbl>
      <w:tblPr>
        <w:tblStyle w:val="TableGrid"/>
        <w:tblW w:w="9360" w:type="dxa"/>
        <w:tblInd w:w="120" w:type="dxa"/>
        <w:tblLayout w:type="fixed"/>
        <w:tblBorders>
          <w:top w:val="single" w:sz="4" w:color="D9E0EA"/>
          <w:left w:val="single" w:sz="4" w:color="D9E0EA"/>
          <w:bottom w:val="single" w:sz="4" w:color="D9E0EA"/>
          <w:right w:val="single" w:sz="4" w:color="D9E0EA"/>
          <w:insideH w:val="single" w:sz="4" w:color="D9E0EA"/>
          <w:insideV w:val="single" w:sz="4" w:color="D9E0EA"/>
        </w:tblBorders>
      </w:tblPr>
      <w:tblGrid>
        <w:gridCol w:w="3120"/>
        <w:gridCol w:w="3120"/>
        <w:gridCol w:w="3120"/>
      </w:tblGrid>
      <w:tr>
        <w:tc>
          <w:tcPr>
            <w:tcW w:w="3120" w:type="dxa"/>
            <w:shd w:fill="F2F4F7"/>
            <w:tcMar>
              <w:top w:w="100" w:type="dxa"/>
              <w:bottom w:w="100" w:type="dxa"/>
              <w:start w:w="140" w:type="dxa"/>
              <w:end w:w="140" w:type="dxa"/>
            </w:tcMar>
          </w:tcPr>
          <w:p>
            <w:r>
              <w:rPr>
                <w:b/>
              </w:rPr>
              <w:t xml:space="preserve">指标</w:t>
            </w:r>
          </w:p>
        </w:tc>
        <w:tc>
          <w:tcPr>
            <w:tcW w:w="3120" w:type="dxa"/>
            <w:shd w:fill="F2F4F7"/>
            <w:tcMar>
              <w:top w:w="100" w:type="dxa"/>
              <w:bottom w:w="100" w:type="dxa"/>
              <w:start w:w="140" w:type="dxa"/>
              <w:end w:w="140" w:type="dxa"/>
            </w:tcMar>
          </w:tcPr>
          <w:p>
            <w:r>
              <w:rPr>
                <w:b/>
              </w:rPr>
              <w:t xml:space="preserve">首期目标</w:t>
            </w:r>
          </w:p>
        </w:tc>
        <w:tc>
          <w:tcPr>
            <w:tcW w:w="3120" w:type="dxa"/>
            <w:shd w:fill="F2F4F7"/>
            <w:tcMar>
              <w:top w:w="100" w:type="dxa"/>
              <w:bottom w:w="100" w:type="dxa"/>
              <w:start w:w="140" w:type="dxa"/>
              <w:end w:w="140" w:type="dxa"/>
            </w:tcMar>
          </w:tcPr>
          <w:p>
            <w:r>
              <w:rPr>
                <w:b/>
              </w:rPr>
              <w:t xml:space="preserve">验证方式</w:t>
            </w:r>
          </w:p>
        </w:tc>
      </w:tr>
      <w:tr>
        <w:tc>
          <w:tcPr>
            <w:tcW w:w="3120" w:type="dxa"/>
            <w:tcMar>
              <w:top w:w="100" w:type="dxa"/>
              <w:bottom w:w="100" w:type="dxa"/>
              <w:start w:w="140" w:type="dxa"/>
              <w:end w:w="140" w:type="dxa"/>
            </w:tcMar>
          </w:tcPr>
          <w:p>
            <w:r>
              <w:t xml:space="preserve">缺陷显性化前置量</w:t>
            </w:r>
          </w:p>
        </w:tc>
        <w:tc>
          <w:tcPr>
            <w:tcW w:w="3120" w:type="dxa"/>
            <w:tcMar>
              <w:top w:w="100" w:type="dxa"/>
              <w:bottom w:w="100" w:type="dxa"/>
              <w:start w:w="140" w:type="dxa"/>
              <w:end w:w="140" w:type="dxa"/>
            </w:tcMar>
          </w:tcPr>
          <w:p>
            <w:r>
              <w:t xml:space="preserve">中位数不少于10分钟</w:t>
            </w:r>
          </w:p>
        </w:tc>
        <w:tc>
          <w:tcPr>
            <w:tcW w:w="3120" w:type="dxa"/>
            <w:tcMar>
              <w:top w:w="100" w:type="dxa"/>
              <w:bottom w:w="100" w:type="dxa"/>
              <w:start w:w="140" w:type="dxa"/>
              <w:end w:w="140" w:type="dxa"/>
            </w:tcMar>
          </w:tcPr>
          <w:p>
            <w:r>
              <w:t xml:space="preserve">风险线程首次达到派单阈值与下游检验理论发现时点之差</w:t>
            </w:r>
          </w:p>
        </w:tc>
      </w:tr>
      <w:tr>
        <w:tc>
          <w:tcPr>
            <w:tcW w:w="3120" w:type="dxa"/>
            <w:tcMar>
              <w:top w:w="100" w:type="dxa"/>
              <w:bottom w:w="100" w:type="dxa"/>
              <w:start w:w="140" w:type="dxa"/>
              <w:end w:w="140" w:type="dxa"/>
            </w:tcMar>
          </w:tcPr>
          <w:p>
            <w:r>
              <w:t xml:space="preserve">异常定位时间</w:t>
            </w:r>
          </w:p>
        </w:tc>
        <w:tc>
          <w:tcPr>
            <w:tcW w:w="3120" w:type="dxa"/>
            <w:tcMar>
              <w:top w:w="100" w:type="dxa"/>
              <w:bottom w:w="100" w:type="dxa"/>
              <w:start w:w="140" w:type="dxa"/>
              <w:end w:w="140" w:type="dxa"/>
            </w:tcMar>
          </w:tcPr>
          <w:p>
            <w:r>
              <w:t xml:space="preserve">下降40%-60%</w:t>
            </w:r>
          </w:p>
        </w:tc>
        <w:tc>
          <w:tcPr>
            <w:tcW w:w="3120" w:type="dxa"/>
            <w:tcMar>
              <w:top w:w="100" w:type="dxa"/>
              <w:bottom w:w="100" w:type="dxa"/>
              <w:start w:w="140" w:type="dxa"/>
              <w:end w:w="140" w:type="dxa"/>
            </w:tcMar>
          </w:tcPr>
          <w:p>
            <w:r>
              <w:t xml:space="preserve">对比人工查询设备、MES、维修和FMEA记录耗时</w:t>
            </w:r>
          </w:p>
        </w:tc>
      </w:tr>
      <w:tr>
        <w:tc>
          <w:tcPr>
            <w:tcW w:w="3120" w:type="dxa"/>
            <w:tcMar>
              <w:top w:w="100" w:type="dxa"/>
              <w:bottom w:w="100" w:type="dxa"/>
              <w:start w:w="140" w:type="dxa"/>
              <w:end w:w="140" w:type="dxa"/>
            </w:tcMar>
          </w:tcPr>
          <w:p>
            <w:r>
              <w:t xml:space="preserve">P1任务派发时长</w:t>
            </w:r>
          </w:p>
        </w:tc>
        <w:tc>
          <w:tcPr>
            <w:tcW w:w="3120" w:type="dxa"/>
            <w:tcMar>
              <w:top w:w="100" w:type="dxa"/>
              <w:bottom w:w="100" w:type="dxa"/>
              <w:start w:w="140" w:type="dxa"/>
              <w:end w:w="140" w:type="dxa"/>
            </w:tcMar>
          </w:tcPr>
          <w:p>
            <w:r>
              <w:t xml:space="preserve">小于1分钟</w:t>
            </w:r>
          </w:p>
        </w:tc>
        <w:tc>
          <w:tcPr>
            <w:tcW w:w="3120" w:type="dxa"/>
            <w:tcMar>
              <w:top w:w="100" w:type="dxa"/>
              <w:bottom w:w="100" w:type="dxa"/>
              <w:start w:w="140" w:type="dxa"/>
              <w:end w:w="140" w:type="dxa"/>
            </w:tcMar>
          </w:tcPr>
          <w:p>
            <w:r>
              <w:t xml:space="preserve">从事件触发到飞书任务生成的系统时间戳</w:t>
            </w:r>
          </w:p>
        </w:tc>
      </w:tr>
      <w:tr>
        <w:tc>
          <w:tcPr>
            <w:tcW w:w="3120" w:type="dxa"/>
            <w:tcMar>
              <w:top w:w="100" w:type="dxa"/>
              <w:bottom w:w="100" w:type="dxa"/>
              <w:start w:w="140" w:type="dxa"/>
              <w:end w:w="140" w:type="dxa"/>
            </w:tcMar>
          </w:tcPr>
          <w:p>
            <w:r>
              <w:t xml:space="preserve">关键工序追溯覆盖</w:t>
            </w:r>
          </w:p>
        </w:tc>
        <w:tc>
          <w:tcPr>
            <w:tcW w:w="3120" w:type="dxa"/>
            <w:tcMar>
              <w:top w:w="100" w:type="dxa"/>
              <w:bottom w:w="100" w:type="dxa"/>
              <w:start w:w="140" w:type="dxa"/>
              <w:end w:w="140" w:type="dxa"/>
            </w:tcMar>
          </w:tcPr>
          <w:p>
            <w:r>
              <w:t xml:space="preserve">达到100%</w:t>
            </w:r>
          </w:p>
        </w:tc>
        <w:tc>
          <w:tcPr>
            <w:tcW w:w="3120" w:type="dxa"/>
            <w:tcMar>
              <w:top w:w="100" w:type="dxa"/>
              <w:bottom w:w="100" w:type="dxa"/>
              <w:start w:w="140" w:type="dxa"/>
              <w:end w:w="140" w:type="dxa"/>
            </w:tcMar>
          </w:tcPr>
          <w:p>
            <w:r>
              <w:t xml:space="preserve">VIN或零件批次与工位、设备、参数记录完整绑定</w:t>
            </w:r>
          </w:p>
        </w:tc>
      </w:tr>
      <w:tr>
        <w:tc>
          <w:tcPr>
            <w:tcW w:w="3120" w:type="dxa"/>
            <w:tcMar>
              <w:top w:w="100" w:type="dxa"/>
              <w:bottom w:w="100" w:type="dxa"/>
              <w:start w:w="140" w:type="dxa"/>
              <w:end w:w="140" w:type="dxa"/>
            </w:tcMar>
          </w:tcPr>
          <w:p>
            <w:r>
              <w:t xml:space="preserve">根因Top-3命中率</w:t>
            </w:r>
          </w:p>
        </w:tc>
        <w:tc>
          <w:tcPr>
            <w:tcW w:w="3120" w:type="dxa"/>
            <w:tcMar>
              <w:top w:w="100" w:type="dxa"/>
              <w:bottom w:w="100" w:type="dxa"/>
              <w:start w:w="140" w:type="dxa"/>
              <w:end w:w="140" w:type="dxa"/>
            </w:tcMar>
          </w:tcPr>
          <w:p>
            <w:r>
              <w:t xml:space="preserve">达到80%以上</w:t>
            </w:r>
          </w:p>
        </w:tc>
        <w:tc>
          <w:tcPr>
            <w:tcW w:w="3120" w:type="dxa"/>
            <w:tcMar>
              <w:top w:w="100" w:type="dxa"/>
              <w:bottom w:w="100" w:type="dxa"/>
              <w:start w:w="140" w:type="dxa"/>
              <w:end w:w="140" w:type="dxa"/>
            </w:tcMar>
          </w:tcPr>
          <w:p>
            <w:r>
              <w:t xml:space="preserve">与质量工程师最终复盘根因比对</w:t>
            </w:r>
          </w:p>
        </w:tc>
      </w:tr>
      <w:tr>
        <w:tc>
          <w:tcPr>
            <w:tcW w:w="3120" w:type="dxa"/>
            <w:tcMar>
              <w:top w:w="100" w:type="dxa"/>
              <w:bottom w:w="100" w:type="dxa"/>
              <w:start w:w="140" w:type="dxa"/>
              <w:end w:w="140" w:type="dxa"/>
            </w:tcMar>
          </w:tcPr>
          <w:p>
            <w:r>
              <w:t xml:space="preserve">重复质量问题</w:t>
            </w:r>
          </w:p>
        </w:tc>
        <w:tc>
          <w:tcPr>
            <w:tcW w:w="3120" w:type="dxa"/>
            <w:tcMar>
              <w:top w:w="100" w:type="dxa"/>
              <w:bottom w:w="100" w:type="dxa"/>
              <w:start w:w="140" w:type="dxa"/>
              <w:end w:w="140" w:type="dxa"/>
            </w:tcMar>
          </w:tcPr>
          <w:p>
            <w:r>
              <w:t xml:space="preserve">下降15%-25%</w:t>
            </w:r>
          </w:p>
        </w:tc>
        <w:tc>
          <w:tcPr>
            <w:tcW w:w="3120" w:type="dxa"/>
            <w:tcMar>
              <w:top w:w="100" w:type="dxa"/>
              <w:bottom w:w="100" w:type="dxa"/>
              <w:start w:w="140" w:type="dxa"/>
              <w:end w:w="140" w:type="dxa"/>
            </w:tcMar>
          </w:tcPr>
          <w:p>
            <w:r>
              <w:t xml:space="preserve">同类设备、同类工况重复事件趋势</w:t>
            </w:r>
          </w:p>
        </w:tc>
      </w:tr>
      <w:tr>
        <w:tc>
          <w:tcPr>
            <w:tcW w:w="3120" w:type="dxa"/>
            <w:tcMar>
              <w:top w:w="100" w:type="dxa"/>
              <w:bottom w:w="100" w:type="dxa"/>
              <w:start w:w="140" w:type="dxa"/>
              <w:end w:w="140" w:type="dxa"/>
            </w:tcMar>
          </w:tcPr>
          <w:p>
            <w:r>
              <w:t xml:space="preserve">复盘知识沉淀率</w:t>
            </w:r>
          </w:p>
        </w:tc>
        <w:tc>
          <w:tcPr>
            <w:tcW w:w="3120" w:type="dxa"/>
            <w:tcMar>
              <w:top w:w="100" w:type="dxa"/>
              <w:bottom w:w="100" w:type="dxa"/>
              <w:start w:w="140" w:type="dxa"/>
              <w:end w:w="140" w:type="dxa"/>
            </w:tcMar>
          </w:tcPr>
          <w:p>
            <w:r>
              <w:t xml:space="preserve">达到90%以上</w:t>
            </w:r>
          </w:p>
        </w:tc>
        <w:tc>
          <w:tcPr>
            <w:tcW w:w="3120" w:type="dxa"/>
            <w:tcMar>
              <w:top w:w="100" w:type="dxa"/>
              <w:bottom w:w="100" w:type="dxa"/>
              <w:start w:w="140" w:type="dxa"/>
              <w:end w:w="140" w:type="dxa"/>
            </w:tcMar>
          </w:tcPr>
          <w:p>
            <w:r>
              <w:t xml:space="preserve">关闭事件中根因、措施、复检、责任确认字段完整率</w:t>
            </w:r>
          </w:p>
        </w:tc>
      </w:tr>
      <w:tr>
        <w:tc>
          <w:tcPr>
            <w:tcW w:w="3120" w:type="dxa"/>
            <w:tcMar>
              <w:top w:w="100" w:type="dxa"/>
              <w:bottom w:w="100" w:type="dxa"/>
              <w:start w:w="140" w:type="dxa"/>
              <w:end w:w="140" w:type="dxa"/>
            </w:tcMar>
          </w:tcPr>
          <w:p>
            <w:r>
              <w:t xml:space="preserve">班组协同留痕</w:t>
            </w:r>
          </w:p>
        </w:tc>
        <w:tc>
          <w:tcPr>
            <w:tcW w:w="3120" w:type="dxa"/>
            <w:tcMar>
              <w:top w:w="100" w:type="dxa"/>
              <w:bottom w:w="100" w:type="dxa"/>
              <w:start w:w="140" w:type="dxa"/>
              <w:end w:w="140" w:type="dxa"/>
            </w:tcMar>
          </w:tcPr>
          <w:p>
            <w:r>
              <w:t xml:space="preserve">结构化率达到90%以上</w:t>
            </w:r>
          </w:p>
        </w:tc>
        <w:tc>
          <w:tcPr>
            <w:tcW w:w="3120" w:type="dxa"/>
            <w:tcMar>
              <w:top w:w="100" w:type="dxa"/>
              <w:bottom w:w="100" w:type="dxa"/>
              <w:start w:w="140" w:type="dxa"/>
              <w:end w:w="140" w:type="dxa"/>
            </w:tcMar>
          </w:tcPr>
          <w:p>
            <w:r>
              <w:t xml:space="preserve">多维表格任务状态、责任人、SLA和关闭依据完整性</w:t>
            </w:r>
          </w:p>
        </w:tc>
      </w:tr>
      <w:tr>
        <w:tc>
          <w:tcPr>
            <w:tcW w:w="3120" w:type="dxa"/>
            <w:tcMar>
              <w:top w:w="100" w:type="dxa"/>
              <w:bottom w:w="100" w:type="dxa"/>
              <w:start w:w="140" w:type="dxa"/>
              <w:end w:w="140" w:type="dxa"/>
            </w:tcMar>
          </w:tcPr>
          <w:p>
            <w:r>
              <w:t xml:space="preserve">确定性关闭门</w:t>
            </w:r>
          </w:p>
        </w:tc>
        <w:tc>
          <w:tcPr>
            <w:tcW w:w="3120" w:type="dxa"/>
            <w:tcMar>
              <w:top w:w="100" w:type="dxa"/>
              <w:bottom w:w="100" w:type="dxa"/>
              <w:start w:w="140" w:type="dxa"/>
              <w:end w:w="140" w:type="dxa"/>
            </w:tcMar>
          </w:tcPr>
          <w:p>
            <w:r>
              <w:t xml:space="preserve">完整率100%</w:t>
            </w:r>
          </w:p>
        </w:tc>
        <w:tc>
          <w:tcPr>
            <w:tcW w:w="3120" w:type="dxa"/>
            <w:tcMar>
              <w:top w:w="100" w:type="dxa"/>
              <w:bottom w:w="100" w:type="dxa"/>
              <w:start w:w="140" w:type="dxa"/>
              <w:end w:w="140" w:type="dxa"/>
            </w:tcMar>
          </w:tcPr>
          <w:p>
            <w:r>
              <w:t xml:space="preserve">五项强制字段、授权操作和审计时间戳完整</w:t>
            </w:r>
          </w:p>
        </w:tc>
      </w:tr>
    </w:tbl>
    <w:p>
      <w:pPr>
        <w:pStyle w:val="SmallSpace"/>
      </w:pPr>
      <w:r>
        <w:t xml:space="preserve"/>
      </w:r>
    </w:p>
    <w:p>
      <w:r>
        <w:t xml:space="preserve"/>
      </w:r>
    </w:p>
    <w:p>
      <w:pPr>
        <w:pStyle w:val="Heading1"/>
        <w:keepNext/>
      </w:pPr>
      <w:r>
        <w:t xml:space="preserve">十、落地可行性与推广路径</w:t>
      </w:r>
    </w:p>
    <w:p>
      <w:r>
        <w:t xml:space="preserve"/>
      </w:r>
    </w:p>
    <w:p>
      <w:pPr>
        <w:pStyle w:val="BodyText"/>
      </w:pPr>
      <w:r>
        <w:t xml:space="preserve">可行性来自三点。第一，赛力斯公开资料显示其已具备全过程质量数据采集、异常定位、控线和一车一档基础，说明数据源和场景具备建设条件。第二，飞书Aily、多维表格和机器人卡片可以轻量嵌入现有组织流程，不需要一开始重构MES或QMS。第三，方案采用离线回放、影子运行、协同闭环、产线复制的渐进路线，先辅助决策，不直接触碰控制层和最终放行权限。</w:t>
      </w:r>
    </w:p>
    <w:p>
      <w:r>
        <w:t xml:space="preserve"/>
      </w:r>
    </w:p>
    <w:p>
      <w:pPr>
        <w:pStyle w:val="BodyText"/>
      </w:pPr>
      <w:r>
        <w:t xml:space="preserve">推广路径分四步。</w:t>
      </w:r>
    </w:p>
    <w:p>
      <w:r>
        <w:t xml:space="preserve"/>
      </w:r>
    </w:p>
    <w:p>
      <w:pPr>
        <w:pStyle w:val="ListParagraph"/>
      </w:pPr>
      <w:r>
        <w:t xml:space="preserve">1. 30天：完成总装拧紧和焊装点焊两类工况的数据字段梳理、本体建模、历史案例导入和飞书多维表格配置。</w:t>
      </w:r>
    </w:p>
    <w:p>
      <w:pPr>
        <w:pStyle w:val="ListParagraph"/>
      </w:pPr>
      <w:r>
        <w:t xml:space="preserve">2. 60天：上线GraphRAG证据检索、风险分级规则、Aily查询入口和机器人卡片通知，以影子模式验证P1/P2事件识别质量。</w:t>
      </w:r>
    </w:p>
    <w:p>
      <w:pPr>
        <w:pStyle w:val="ListParagraph"/>
      </w:pPr>
      <w:r>
        <w:t xml:space="preserve">3. 90天：扩展涂装烘干和压铸冷却工况，建立复盘回写机制，形成事件准确率、定位时长、任务关闭率和重复问题下降看板。</w:t>
      </w:r>
    </w:p>
    <w:p>
      <w:pPr>
        <w:pStyle w:val="ListParagraph"/>
      </w:pPr>
      <w:r>
        <w:t xml:space="preserve">4. 复制推广：将“设备-参数-质量特性-影响范围-处置任务-复盘知识”模板扩展到电驱装配、电池包气密、整车标定、供应链来料质量和路试问题闭环。</w:t>
      </w:r>
    </w:p>
    <w:p>
      <w:r>
        <w:t xml:space="preserve"/>
      </w:r>
    </w:p>
    <w:p>
      <w:pPr>
        <w:pStyle w:val="Heading1"/>
        <w:keepNext/>
      </w:pPr>
      <w:r>
        <w:t xml:space="preserve">十一、成果物与材料链接</w:t>
      </w:r>
    </w:p>
    <w:p>
      <w:r>
        <w:t xml:space="preserve"/>
      </w:r>
    </w:p>
    <w:tbl>
      <w:tblPr>
        <w:tblStyle w:val="TableGrid"/>
        <w:tblW w:w="9360" w:type="dxa"/>
        <w:tblInd w:w="120" w:type="dxa"/>
        <w:tblLayout w:type="fixed"/>
        <w:tblBorders>
          <w:top w:val="single" w:sz="4" w:color="D9E0EA"/>
          <w:left w:val="single" w:sz="4" w:color="D9E0EA"/>
          <w:bottom w:val="single" w:sz="4" w:color="D9E0EA"/>
          <w:right w:val="single" w:sz="4" w:color="D9E0EA"/>
          <w:insideH w:val="single" w:sz="4" w:color="D9E0EA"/>
          <w:insideV w:val="single" w:sz="4" w:color="D9E0EA"/>
        </w:tblBorders>
      </w:tblPr>
      <w:tblGrid>
        <w:gridCol w:w="4680"/>
        <w:gridCol w:w="4680"/>
      </w:tblGrid>
      <w:tr>
        <w:tc>
          <w:tcPr>
            <w:tcW w:w="4680" w:type="dxa"/>
            <w:shd w:fill="F2F4F7"/>
            <w:tcMar>
              <w:top w:w="100" w:type="dxa"/>
              <w:bottom w:w="100" w:type="dxa"/>
              <w:start w:w="140" w:type="dxa"/>
              <w:end w:w="140" w:type="dxa"/>
            </w:tcMar>
          </w:tcPr>
          <w:p>
            <w:r>
              <w:rPr>
                <w:b/>
              </w:rPr>
              <w:t xml:space="preserve">成果物</w:t>
            </w:r>
          </w:p>
        </w:tc>
        <w:tc>
          <w:tcPr>
            <w:tcW w:w="4680" w:type="dxa"/>
            <w:shd w:fill="F2F4F7"/>
            <w:tcMar>
              <w:top w:w="100" w:type="dxa"/>
              <w:bottom w:w="100" w:type="dxa"/>
              <w:start w:w="140" w:type="dxa"/>
              <w:end w:w="140" w:type="dxa"/>
            </w:tcMar>
          </w:tcPr>
          <w:p>
            <w:r>
              <w:rPr>
                <w:b/>
              </w:rPr>
              <w:t xml:space="preserve">说明</w:t>
            </w:r>
          </w:p>
        </w:tc>
      </w:tr>
      <w:tr>
        <w:tc>
          <w:tcPr>
            <w:tcW w:w="4680" w:type="dxa"/>
            <w:tcMar>
              <w:top w:w="100" w:type="dxa"/>
              <w:bottom w:w="100" w:type="dxa"/>
              <w:start w:w="140" w:type="dxa"/>
              <w:end w:w="140" w:type="dxa"/>
            </w:tcMar>
          </w:tcPr>
          <w:p>
            <w:r>
              <w:t xml:space="preserve">互动工作台</w:t>
            </w:r>
          </w:p>
        </w:tc>
        <w:tc>
          <w:tcPr>
            <w:tcW w:w="4680" w:type="dxa"/>
            <w:tcMar>
              <w:top w:w="100" w:type="dxa"/>
              <w:bottom w:w="100" w:type="dxa"/>
              <w:start w:w="140" w:type="dxa"/>
              <w:end w:w="140" w:type="dxa"/>
            </w:tcMar>
          </w:tcPr>
          <w:p>
            <w:r>
              <w:t xml:space="preserve">`app/index.html`，支持弱信号前置发现、Top-3因果假设、VIN/零件级追溯、确定性关闭门、飞书闭环和证据包导出</w:t>
            </w:r>
          </w:p>
        </w:tc>
      </w:tr>
      <w:tr>
        <w:tc>
          <w:tcPr>
            <w:tcW w:w="4680" w:type="dxa"/>
            <w:tcMar>
              <w:top w:w="100" w:type="dxa"/>
              <w:bottom w:w="100" w:type="dxa"/>
              <w:start w:w="140" w:type="dxa"/>
              <w:end w:w="140" w:type="dxa"/>
            </w:tcMar>
          </w:tcPr>
          <w:p>
            <w:r>
              <w:t xml:space="preserve">知识底座样例</w:t>
            </w:r>
          </w:p>
        </w:tc>
        <w:tc>
          <w:tcPr>
            <w:tcW w:w="4680" w:type="dxa"/>
            <w:tcMar>
              <w:top w:w="100" w:type="dxa"/>
              <w:bottom w:w="100" w:type="dxa"/>
              <w:start w:w="140" w:type="dxa"/>
              <w:end w:w="140" w:type="dxa"/>
            </w:tcMar>
          </w:tcPr>
          <w:p>
            <w:r>
              <w:t xml:space="preserve">`data/quality_ontology.jsonld`、`data/quality_cases.json`、`data/interactive_scenarios.json`、`data/decision_assurance.json`</w:t>
            </w:r>
          </w:p>
        </w:tc>
      </w:tr>
      <w:tr>
        <w:tc>
          <w:tcPr>
            <w:tcW w:w="4680" w:type="dxa"/>
            <w:tcMar>
              <w:top w:w="100" w:type="dxa"/>
              <w:bottom w:w="100" w:type="dxa"/>
              <w:start w:w="140" w:type="dxa"/>
              <w:end w:w="140" w:type="dxa"/>
            </w:tcMar>
          </w:tcPr>
          <w:p>
            <w:r>
              <w:t xml:space="preserve">推理脚本</w:t>
            </w:r>
          </w:p>
        </w:tc>
        <w:tc>
          <w:tcPr>
            <w:tcW w:w="4680" w:type="dxa"/>
            <w:tcMar>
              <w:top w:w="100" w:type="dxa"/>
              <w:bottom w:w="100" w:type="dxa"/>
              <w:start w:w="140" w:type="dxa"/>
              <w:end w:w="140" w:type="dxa"/>
            </w:tcMar>
          </w:tcPr>
          <w:p>
            <w:r>
              <w:t xml:space="preserve">`scripts/run_quality_agent.py`，输出主动检测共识、前置量、根因Top-3、反证动作、因果护栏、关闭门和飞书字段</w:t>
            </w:r>
          </w:p>
        </w:tc>
      </w:tr>
      <w:tr>
        <w:tc>
          <w:tcPr>
            <w:tcW w:w="4680" w:type="dxa"/>
            <w:tcMar>
              <w:top w:w="100" w:type="dxa"/>
              <w:bottom w:w="100" w:type="dxa"/>
              <w:start w:w="140" w:type="dxa"/>
              <w:end w:w="140" w:type="dxa"/>
            </w:tcMar>
          </w:tcPr>
          <w:p>
            <w:r>
              <w:t xml:space="preserve">飞书实装</w:t>
            </w:r>
          </w:p>
        </w:tc>
        <w:tc>
          <w:tcPr>
            <w:tcW w:w="4680" w:type="dxa"/>
            <w:tcMar>
              <w:top w:w="100" w:type="dxa"/>
              <w:bottom w:w="100" w:type="dxa"/>
              <w:start w:w="140" w:type="dxa"/>
              <w:end w:w="140" w:type="dxa"/>
            </w:tcMar>
          </w:tcPr>
          <w:p>
            <w:r>
              <w:t xml:space="preserve">在线Base写入回读、任务与复盘文档对象样例，以及`orchestrate_feishu_quality_event.ps1`编排脚本</w:t>
            </w:r>
          </w:p>
        </w:tc>
      </w:tr>
      <w:tr>
        <w:tc>
          <w:tcPr>
            <w:tcW w:w="4680" w:type="dxa"/>
            <w:tcMar>
              <w:top w:w="100" w:type="dxa"/>
              <w:bottom w:w="100" w:type="dxa"/>
              <w:start w:w="140" w:type="dxa"/>
              <w:end w:w="140" w:type="dxa"/>
            </w:tcMar>
          </w:tcPr>
          <w:p>
            <w:r>
              <w:t xml:space="preserve">完整材料</w:t>
            </w:r>
          </w:p>
        </w:tc>
        <w:tc>
          <w:tcPr>
            <w:tcW w:w="4680" w:type="dxa"/>
            <w:tcMar>
              <w:top w:w="100" w:type="dxa"/>
              <w:bottom w:w="100" w:type="dxa"/>
              <w:start w:w="140" w:type="dxa"/>
              <w:end w:w="140" w:type="dxa"/>
            </w:tcMar>
          </w:tcPr>
          <w:p>
            <w:r>
              <w:t xml:space="preserve">提交材料目录下00—09号材料，覆盖报名文本、开题报告、方案书、案例、创新点和决赛完整技术方案</w:t>
            </w:r>
          </w:p>
        </w:tc>
      </w:tr>
    </w:tbl>
    <w:p>
      <w:pPr>
        <w:pStyle w:val="SmallSpace"/>
      </w:pPr>
      <w:r>
        <w:t xml:space="preserve"/>
      </w:r>
    </w:p>
    <w:p>
      <w:r>
        <w:t xml:space="preserve"/>
      </w:r>
    </w:p>
    <w:p>
      <w:r>
        <w:rPr>
          <w:b/>
          <w:color w:val="9E1B32"/>
        </w:rPr>
        <w:t xml:space="preserve">GitHub公开仓库：</w:t>
      </w:r>
      <w:r>
        <w:t xml:space="preserve">https://github.com/zhijinDeng/Seris</w:t>
      </w:r>
    </w:p>
    <w:p>
      <w:r>
        <w:t xml:space="preserve"/>
      </w:r>
    </w:p>
    <w:p>
      <w:pPr>
        <w:pStyle w:val="Heading1"/>
        <w:keepNext/>
      </w:pPr>
      <w:r>
        <w:t xml:space="preserve">十二、决赛版实装成果</w:t>
      </w:r>
    </w:p>
    <w:p>
      <w:r>
        <w:t xml:space="preserve"/>
      </w:r>
    </w:p>
    <w:p>
      <w:pPr>
        <w:pStyle w:val="BodyText"/>
      </w:pPr>
      <w:r>
        <w:t xml:space="preserve">前端已重构为企业级质量指挥台。首屏同时呈现生产态势、风险事件队列、数字员工岗位身份、缺陷显性化前置量、弱信号到理论显性点时间线、工艺趋势、风险等级、影响对象、止损窗口、处置安全门和责任任务；下方呈现GraphRAG多跳路径、可切换VIN/零件的一车一因果链、Top-3假设及支持/冲突证据、五项因果护栏、五项确定性关闭门、飞书在线对象、跨工序复制矩阵和价值验收。交互遵循“派发—人工确认—物理验证—关闭回写”顺序，P1未确认或关闭门未满足时不能关闭。</w:t>
      </w:r>
    </w:p>
    <w:p>
      <w:r>
        <w:t xml:space="preserve"/>
      </w:r>
    </w:p>
    <w:p>
      <w:pPr>
        <w:pStyle w:val="BodyText"/>
      </w:pPr>
      <w:r>
        <w:t xml:space="preserve">飞书侧按证据层级展示：在线Base数据表`tblFo5Btaj0IBXiD`包含13个字段并完成写入回读；任务`f10d51e5-cc8e-4c71-9441-cd29a77feacf`和复盘文档`PjludNq8foBhkrxV8VQccsldneb`为可打开的对象样例。生产闭环仍需企业应用身份、角色映射、审批实例和事件回写验收。</w:t>
      </w:r>
    </w:p>
    <w:p>
      <w:r>
        <w:t xml:space="preserve"/>
      </w:r>
    </w:p>
    <w:p>
      <w:pPr>
        <w:pStyle w:val="Heading1"/>
        <w:keepNext/>
      </w:pPr>
      <w:r>
        <w:t xml:space="preserve">十三、缺陷显性化前主动发现</w:t>
      </w:r>
    </w:p>
    <w:p>
      <w:r>
        <w:t xml:space="preserve"/>
      </w:r>
    </w:p>
    <w:p>
      <w:pPr>
        <w:pStyle w:val="BodyText"/>
      </w:pPr>
      <w:r>
        <w:t xml:space="preserve">主动管控的判断标准不是“报警后自动发消息”，而是在下游检验或客户可感知缺陷出现前，识别出足以行动的风险。数据首先通过时间戳、采样率、缺失率、量纲和VIN/批次绑定完整性检查；随后由工艺硬规则保障安全底线，EWMA识别均值小幅漂移，CUSUM积累持续偏差，指令—反馈残差识别执行机构退化；最后由知识图谱校验设备、工位、质量特性、FMEA和历史案例关系。至少两类证据达成共识后才形成风险线程。</w:t>
      </w:r>
    </w:p>
    <w:p>
      <w:r>
        <w:t xml:space="preserve"/>
      </w:r>
    </w:p>
    <w:p>
      <w:pPr>
        <w:pStyle w:val="BodyText"/>
      </w:pPr>
      <w:r>
        <w:t xml:space="preserve">前置量定义为`T_downstream-T_actionable`。`T_actionable`是风险线程首次满足派单阈值的事件时间，`T_downstream`是现行下游检验理论可发现该缺陷的时间。拧紧仿真案例中，EWMA于14:08识别弱漂移，CUSUM、连续VIN和FMEA关系于14:16形成4/4共识，相对14:38前后的下游理论显性点前置22分钟。网页四场景18至46分钟均为脱敏仿真计算，不代表赛力斯现网收益；90天试点以中位数不少于10分钟为目标，同时约束P1召回率、误报率和人工驳回率，避免用告警数量换取表面提前。</w:t>
      </w:r>
    </w:p>
    <w:p>
      <w:r>
        <w:t xml:space="preserve"/>
      </w:r>
    </w:p>
    <w:p>
      <w:pPr>
        <w:pStyle w:val="Heading1"/>
        <w:keepNext/>
      </w:pPr>
      <w:r>
        <w:t xml:space="preserve">十四、因果护栏与确定性验证</w:t>
      </w:r>
    </w:p>
    <w:p>
      <w:r>
        <w:t xml:space="preserve"/>
      </w:r>
    </w:p>
    <w:p>
      <w:pPr>
        <w:pStyle w:val="BodyText"/>
      </w:pPr>
      <w:r>
        <w:t xml:space="preserve">GraphRAG只生成候选根因，不把相关性直接写成事实。每个事件保留Top-3假设，并展示支持证据、冲突证据、反证动作和置信度。五项因果护栏分别检查：原因信号在时间上早于质量偏离；关系符合设备与工艺机理；同设备、同工位或同批次可复现；存在可改变证据强度的干预/对照；数据版本、时间戳和来源完整。低置信、证据冲突或反证失败时，系统降低原假设并重新检索，不输出唯一根因。</w:t>
      </w:r>
    </w:p>
    <w:p>
      <w:r>
        <w:t xml:space="preserve"/>
      </w:r>
    </w:p>
    <w:p>
      <w:pPr>
        <w:pStyle w:val="BodyText"/>
      </w:pPr>
      <w:r>
        <w:t xml:space="preserve">拧紧案例Top-1“套筒磨损叠加校准漂移”为86%，但“套筒账面寿命未到阈值”是冲突证据，因此必须执行“更换套筒并用标准件复校”。若干预后扭矩与角度关系恢复，Top-1增强；若不恢复，则提升螺纹摩擦系数批次异常或配方错配假设。现场处置关闭由规则引擎校验源数据、影响范围、物理复检、授权确认、任务完成与知识草案入审五项；标准发布与主平台回写另行审批。大模型只解释缺失项和生成任务草案，不掌握P1放行权。</w:t>
      </w:r>
    </w:p>
    <w:p>
      <w:r>
        <w:t xml:space="preserve"/>
      </w:r>
    </w:p>
    <w:p>
      <w:pPr>
        <w:pStyle w:val="Heading1"/>
        <w:keepNext/>
      </w:pPr>
      <w:r>
        <w:t xml:space="preserve">十五、一车一因果链与跨工序复制</w:t>
      </w:r>
    </w:p>
    <w:p>
      <w:r>
        <w:t xml:space="preserve"/>
      </w:r>
    </w:p>
    <w:p>
      <w:pPr>
        <w:pStyle w:val="BodyText"/>
      </w:pPr>
      <w:r>
        <w:t xml:space="preserve">一车一因果链以VIN或零件批次为索引，把过站工位、设备和程序版本、参数窗口、异常事件、风险传播、隔离/复检、人工放行和知识回写组织为可查询线程。事件范围不再是一句“影响8123—8125”，而是三个可分别查看过站时间、测量值和处置状态的对象；压铸场景先以零件批次追溯，装配绑定后再映射到车辆级。</w:t>
      </w:r>
    </w:p>
    <w:p>
      <w:r>
        <w:t xml:space="preserve"/>
      </w:r>
    </w:p>
    <w:p>
      <w:pPr>
        <w:pStyle w:val="BodyText"/>
      </w:pPr>
      <w:r>
        <w:t xml:space="preserve">四类演示工序共用事件模型、Agent状态机、飞书字段、因果护栏和关闭门，仅替换四类资产：感知适配器、工艺本体模块、检测规则和物理验证方法。总装使用扭矩/角度与复拧；焊装使用电流/寿命/阻抗与焊核；涂装使用温度/风门/过站与附着力；压铸使用模温/流量/热像与X光尺寸。推广模板因此可以复制到电驱、电池包气密、整车标定和供应链来料质量，而不是为每条产线重做一套应用。</w:t>
      </w:r>
    </w:p>
    <w:p>
      <w:r>
        <w:t xml:space="preserve"/>
      </w:r>
    </w:p>
    <w:p>
      <w:pPr>
        <w:pStyle w:val="Heading1"/>
        <w:keepNext/>
      </w:pPr>
      <w:r>
        <w:t xml:space="preserve">十六、企业生产部署设计</w:t>
      </w:r>
    </w:p>
    <w:p>
      <w:r>
        <w:t xml:space="preserve"/>
      </w:r>
    </w:p>
    <w:p>
      <w:pPr>
        <w:pStyle w:val="BodyText"/>
      </w:pPr>
      <w:r>
        <w:t xml:space="preserve">生产接入采用事件总线、边缘特征提取和批流结合。高频参数先在边缘侧完成窗口、漂移、连续性和缺失检查；异常片段进入知识底座后，图谱按设备、工位、工序、参数、质量特性、VIN/批次和FMEA收敛上下文；GraphRAG补充SOP、维修记录和历史8D；Agent生成可证伪根因假设、影响范围和任务草案。事实、知识和协同三类数据均记录来源、事件时间、版本、质量标记和权限等级。</w:t>
      </w:r>
    </w:p>
    <w:p>
      <w:r>
        <w:t xml:space="preserve"/>
      </w:r>
    </w:p>
    <w:p>
      <w:pPr>
        <w:pStyle w:val="BodyText"/>
      </w:pPr>
      <w:r>
        <w:t xml:space="preserve">飞书生产模型包含质量事件、处置任务、复检记录、设备维修、审批记录和复盘知识六张关联表。P1卡片支持确认隔离、接单、补充证据和升级；任务v2承载负责人、关注人、截止时间、子任务、评论和附件；Aily提供事件查询、VIN追溯、处置草案和复盘生成；任务与消息事件驱动Base状态回写。机器人可用范围、卡片回调、事件订阅和应用发布由企业管理员审批。</w:t>
      </w:r>
    </w:p>
    <w:p>
      <w:r>
        <w:t xml:space="preserve"/>
      </w:r>
    </w:p>
    <w:p>
      <w:pPr>
        <w:pStyle w:val="Heading1"/>
        <w:keepNext/>
      </w:pPr>
      <w:r>
        <w:t xml:space="preserve">十七、可靠性、治理与验收</w:t>
      </w:r>
    </w:p>
    <w:p>
      <w:r>
        <w:t xml:space="preserve"/>
      </w:r>
    </w:p>
    <w:p>
      <w:pPr>
        <w:pStyle w:val="BodyText"/>
      </w:pPr>
      <w:r>
        <w:t xml:space="preserve">系统采用规则兜底、图谱收敛、模型排序和专家确认。关键安全规则优先于模型；低置信或证据冲突时不输出唯一根因；数据延迟、核心点位缺失或模型连续异常时停止自动派单；飞书接口异常时保存本地事件包并按幂等键补偿同步。系统不直接修改PLC/SCADA参数，不替代质量放行，不自动关闭P1。</w:t>
      </w:r>
    </w:p>
    <w:p>
      <w:r>
        <w:t xml:space="preserve"/>
      </w:r>
    </w:p>
    <w:p>
      <w:pPr>
        <w:pStyle w:val="BodyText"/>
      </w:pPr>
      <w:r>
        <w:t xml:space="preserve">试点验收以实测为准：缺陷显性化前置量中位数不少于10分钟，P1召回率不低于95%，根因Top-3命中率不低于80%，影响范围准确率不低于90%，飞书派发小于1分钟，任务按期关闭率不低于90%，五项关闭门完整率为100%，复盘知识沉淀率不低于90%，越权操作为0。价值指标只统计被现场采纳并完成闭环的事件，不把试点目标或仿真时间窗表述为既成收益。</w:t>
      </w:r>
    </w:p>
    <w:p>
      <w:r>
        <w:t xml:space="preserve"/>
      </w:r>
    </w:p>
    <w:p>
      <w:pPr>
        <w:pStyle w:val="Heading1"/>
        <w:keepNext/>
      </w:pPr>
      <w:r>
        <w:t xml:space="preserve">十八、在线成果链接</w:t>
      </w:r>
    </w:p>
    <w:p>
      <w:r>
        <w:t xml:space="preserve"/>
      </w:r>
    </w:p>
    <w:p>
      <w:pPr>
        <w:pStyle w:val="ListParagraph"/>
        <w:numPr>
          <w:ilvl w:val="0"/>
          <w:numId w:val="1"/>
        </w:numPr>
      </w:pPr>
      <w:r>
        <w:t xml:space="preserve">互动工作台：`app/index.html`</w:t>
      </w:r>
    </w:p>
    <w:p>
      <w:pPr>
        <w:pStyle w:val="ListParagraph"/>
        <w:numPr>
          <w:ilvl w:val="0"/>
          <w:numId w:val="1"/>
        </w:numPr>
      </w:pPr>
      <w:r>
        <w:t xml:space="preserve">质量事件Base：https://larkcommunity.feishu.cn/base/DYAabhZeiagT0ZsjGaTcWFPrn7b?table=tblFo5Btaj0IBXiD</w:t>
      </w:r>
    </w:p>
    <w:p>
      <w:pPr>
        <w:pStyle w:val="ListParagraph"/>
        <w:numPr>
          <w:ilvl w:val="0"/>
          <w:numId w:val="1"/>
        </w:numPr>
      </w:pPr>
      <w:r>
        <w:t xml:space="preserve">飞书任务：https://applink.feishu.cn/client/todo/detail?guid=f10d51e5-cc8e-4c71-9441-cd29a77feacf</w:t>
      </w:r>
    </w:p>
    <w:p>
      <w:pPr>
        <w:pStyle w:val="ListParagraph"/>
        <w:numPr>
          <w:ilvl w:val="0"/>
          <w:numId w:val="1"/>
        </w:numPr>
      </w:pPr>
      <w:r>
        <w:t xml:space="preserve">复盘文档：https://larkcommunity.feishu.cn/docx/PjludNq8foBhkrxV8VQccsldneb</w:t>
      </w:r>
    </w:p>
    <w:p>
      <w:pPr>
        <w:pStyle w:val="ListParagraph"/>
        <w:numPr>
          <w:ilvl w:val="0"/>
          <w:numId w:val="1"/>
        </w:numPr>
      </w:pPr>
      <w:r>
        <w:t xml:space="preserve">GitHub公开仓库：https://github.com/zhijinDeng/Seris</w:t>
      </w:r>
    </w:p>
    <w:p>
      <w:r>
        <w:t xml:space="preserve"/>
      </w:r>
    </w:p>
    <w:p>
      <w:pPr>
        <w:pStyle w:val="Heading1"/>
        <w:keepNext/>
      </w:pPr>
      <w:r>
        <w:t xml:space="preserve">十九、参考资料</w:t>
      </w:r>
    </w:p>
    <w:p>
      <w:r>
        <w:t xml:space="preserve"/>
      </w:r>
    </w:p>
    <w:p>
      <w:pPr>
        <w:pStyle w:val="ReferenceList"/>
      </w:pPr>
      <w:r>
        <w:t xml:space="preserve">1. 赛力斯集团股份有限公司：《2024年年度报告》，2025。</w:t>
      </w:r>
    </w:p>
    <w:p>
      <w:pPr>
        <w:pStyle w:val="ReferenceList"/>
      </w:pPr>
      <w:r>
        <w:t xml:space="preserve">2. 赛力斯集团股份有限公司：《2025年半年度报告》，2025。</w:t>
      </w:r>
    </w:p>
    <w:p>
      <w:pPr>
        <w:pStyle w:val="ReferenceList"/>
      </w:pPr>
      <w:r>
        <w:t xml:space="preserve">3. 赛力斯集团股份有限公司：《2024年环境、社会及管治报告》，2025。</w:t>
      </w:r>
    </w:p>
    <w:p>
      <w:pPr>
        <w:pStyle w:val="ReferenceList"/>
      </w:pPr>
      <w:r>
        <w:t xml:space="preserve">4. ISO：ISO 9001 explained，Quality management systems。</w:t>
      </w:r>
    </w:p>
    <w:p>
      <w:pPr>
        <w:pStyle w:val="ReferenceList"/>
      </w:pPr>
      <w:r>
        <w:t xml:space="preserve">5. NIST：Artificial Intelligence Risk Management Framework 1.0，NIST AI 100-1，2023。</w:t>
      </w:r>
    </w:p>
    <w:p>
      <w:pPr>
        <w:pStyle w:val="ReferenceList"/>
      </w:pPr>
      <w:r>
        <w:t xml:space="preserve">6. Wehner C, Kertel M, Wewerka J, et al. Interactive and Intelligent Root Cause Analysis in Manufacturing with Causal Bayesian Networks and Knowledge Graphs. arXiv:2402.00043, 2024.</w:t>
      </w:r>
    </w:p>
    <w:p>
      <w:pPr>
        <w:pStyle w:val="ReferenceList"/>
      </w:pPr>
      <w:r>
        <w:t xml:space="preserve">7. Chen J, Qian J, Zhang X, et al. Root-KGD: A Novel Framework for Root Cause Diagnosis Based on Knowledge Graph and Industrial Data. arXiv:2406.13664, 2024.</w:t>
      </w:r>
    </w:p>
    <w:p>
      <w:pPr>
        <w:pStyle w:val="ReferenceList"/>
      </w:pPr>
      <w:r>
        <w:t xml:space="preserve">8. Knollmeyer S, Caymazer O, Grossmann D. Document GraphRAG: Knowledge Graph Enhanced Retrieval Augmented Generation for Document Question Answering Within the Manufacturing Domain. Electronics, 2025, 14(11):2102.</w:t>
      </w:r>
    </w:p>
    <w:p>
      <w:pPr>
        <w:pStyle w:val="ReferenceList"/>
      </w:pPr>
      <w:r>
        <w:t xml:space="preserve">9. Kurniawan K, Kropatschek S, Kiesling E, et al. ProQ-KG: Integrated Cyber-Physical Production System Knowledge Graph for Quality Issue Analysis, 2025.</w:t>
      </w:r>
    </w:p>
    <w:p>
      <w:pPr>
        <w:pStyle w:val="ReferenceList"/>
      </w:pPr>
      <w:r>
        <w:t xml:space="preserve">10. Xu Z, Dang Y. Data-driven causal knowledge graph construction for root cause analysis in quality problem solving. International Journal of Production Research, 2023, 61(14):4693-4711.</w:t>
      </w:r>
    </w:p>
    <w:p>
      <w:pPr>
        <w:pStyle w:val="ReferenceList"/>
      </w:pPr>
      <w:r>
        <w:t xml:space="preserve">11. 飞书开放平台：多维表格概述。</w:t>
      </w:r>
    </w:p>
    <w:p>
      <w:pPr>
        <w:pStyle w:val="ReferenceList"/>
      </w:pPr>
      <w:r>
        <w:t xml:space="preserve">12. 飞书开放平台：任务v2概述。</w:t>
      </w:r>
    </w:p>
    <w:p>
      <w:pPr>
        <w:pStyle w:val="ReferenceList"/>
      </w:pPr>
      <w:r>
        <w:t xml:space="preserve">13. 飞书开放平台：配置卡片交互。</w:t>
      </w:r>
    </w:p>
    <w:p>
      <w:pPr>
        <w:pStyle w:val="ReferenceList"/>
      </w:pPr>
      <w:r>
        <w:t xml:space="preserve">14. 飞书开放平台：文档OpenAPI概述。</w:t>
      </w:r>
    </w:p>
    <w:p>
      <w:pPr>
        <w:pStyle w:val="ReferenceList"/>
      </w:pPr>
      <w:r>
        <w:t xml:space="preserve">15. Rehak J, Sommer A, Becker M, et al. Counterfactual Root Cause Analysis via Anomaly Detection and Causal Graphs. IEEE INDIN, 2023.</w:t>
      </w:r>
    </w:p>
    <w:p>
      <w:pPr>
        <w:pStyle w:val="ReferenceList"/>
      </w:pPr>
      <w:r>
        <w:t xml:space="preserve">16. 赛力斯集团：《赛力斯设备质量风险AI数字员工_业务场景参考材料》，赛事提供内部参考材料，2026。</w:t>
      </w:r>
    </w:p>
    <w:p>
      <w:pPr>
        <w:pStyle w:val="ReferenceList"/>
      </w:pPr>
      <w:r>
        <w:t xml:space="preserve">17. 赛力斯集团：《赛力斯设备场景闭环脱敏数据包》，赛事提供脱敏数据，2026。</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lvl>
  </w:abstractNum>
  <w:abstractNum w:abstractNumId="2">
    <w:lvl w:ilvl="0">
      <w:start w:val="1"/>
      <w:numFmt w:val="decimal"/>
      <w:lvlText w:val="%1."/>
      <w:lvlJc w:val="left"/>
      <w:pPr>
        <w:tabs>
          <w:tab w:val="num" w:pos="720"/>
        </w:tabs>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pPr>
      <w:spacing w:after="120" w:line="264" w:lineRule="auto"/>
    </w:pPr>
    <w:rPr>
      <w:rFonts w:ascii="Calibri" w:eastAsia="Microsoft YaHei" w:hAnsi="Calibri"/>
      <w:sz w:val="22"/>
      <w:szCs w:val="22"/>
      <w:color w:val="172033"/>
    </w:rPr>
  </w:style>
  <w:style w:type="paragraph" w:styleId="Title">
    <w:name w:val="Title"/>
    <w:pPr>
      <w:spacing w:before="0" w:after="160"/>
    </w:pPr>
    <w:rPr>
      <w:rFonts w:ascii="Calibri" w:eastAsia="Microsoft YaHei" w:hAnsi="Calibri"/>
      <w:b/>
      <w:sz w:val="36"/>
      <w:szCs w:val="36"/>
      <w:color w:val="171C22"/>
    </w:rPr>
  </w:style>
  <w:style w:type="paragraph" w:styleId="Subtitle">
    <w:name w:val="Subtitle"/>
    <w:pPr>
      <w:spacing w:after="240"/>
    </w:pPr>
    <w:rPr>
      <w:rFonts w:ascii="Calibri" w:eastAsia="Microsoft YaHei" w:hAnsi="Calibri"/>
      <w:sz w:val="22"/>
      <w:szCs w:val="22"/>
      <w:color w:val="657086"/>
    </w:rPr>
  </w:style>
  <w:style w:type="paragraph" w:styleId="Heading1">
    <w:name w:val="heading 1"/>
    <w:pPr>
      <w:keepNext/>
      <w:spacing w:before="320" w:after="160"/>
    </w:pPr>
    <w:rPr>
      <w:rFonts w:ascii="Calibri" w:eastAsia="Microsoft YaHei" w:hAnsi="Calibri"/>
      <w:b/>
      <w:sz w:val="32"/>
      <w:szCs w:val="32"/>
      <w:color w:val="9E1B32"/>
    </w:rPr>
  </w:style>
  <w:style w:type="paragraph" w:styleId="Heading2">
    <w:name w:val="heading 2"/>
    <w:pPr>
      <w:keepNext/>
      <w:spacing w:before="240" w:after="120"/>
    </w:pPr>
    <w:rPr>
      <w:rFonts w:ascii="Calibri" w:eastAsia="Microsoft YaHei" w:hAnsi="Calibri"/>
      <w:b/>
      <w:sz w:val="26"/>
      <w:szCs w:val="26"/>
      <w:color w:val="34424F"/>
    </w:rPr>
  </w:style>
  <w:style w:type="paragraph" w:styleId="BodyText">
    <w:name w:val="Body Text"/>
    <w:basedOn w:val="Normal"/>
    <w:pPr>
      <w:spacing w:after="120" w:line="264" w:lineRule="auto"/>
    </w:pPr>
  </w:style>
  <w:style w:type="paragraph" w:styleId="ListParagraph">
    <w:name w:val="List Paragraph"/>
    <w:basedOn w:val="Normal"/>
    <w:pPr>
      <w:ind w:left="720"/>
      <w:spacing w:after="120" w:line="280" w:lineRule="auto"/>
    </w:pPr>
  </w:style>
  <w:style w:type="paragraph" w:styleId="ReferenceList">
    <w:name w:val="Reference List"/>
    <w:basedOn w:val="Normal"/>
    <w:pPr>
      <w:ind w:left="360" w:hanging="240"/>
      <w:spacing w:after="50" w:line="220" w:lineRule="auto"/>
    </w:pPr>
    <w:rPr>
      <w:rFonts w:ascii="Calibri" w:eastAsia="Microsoft YaHei" w:hAnsi="Calibri"/>
      <w:sz w:val="18"/>
      <w:szCs w:val="18"/>
      <w:color w:val="172033"/>
    </w:rPr>
  </w:style>
  <w:style w:type="paragraph" w:styleId="SmallSpace">
    <w:name w:val="Small Space"/>
    <w:pPr>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image" Target="media/quality-ai-architecture.png"/>

</Relationships>
</file>