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报名表填写文本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r>
        <w:rPr>
          <w:b/>
          <w:color w:val="9E1B32"/>
        </w:rPr>
        <w:t xml:space="preserve">企业命题：</w:t>
      </w:r>
      <w:r>
        <w:t xml:space="preserve">如果加入赛力斯超级工厂团队，如何打造一名会主动管控设备质量风险的AI数字员工。</w:t>
      </w:r>
    </w:p>
    <w:p>
      <w:r>
        <w:t xml:space="preserve"/>
      </w:r>
    </w:p>
    <w:p>
      <w:r>
        <w:rPr>
          <w:b/>
          <w:color w:val="9E1B32"/>
        </w:rPr>
        <w:t xml:space="preserve">队伍名称：</w:t>
      </w:r>
      <w:r>
        <w:t xml:space="preserve">智造知行队</w:t>
      </w:r>
    </w:p>
    <w:p>
      <w:r>
        <w:t xml:space="preserve"/>
      </w:r>
    </w:p>
    <w:p>
      <w:r>
        <w:rPr>
          <w:b/>
          <w:color w:val="9E1B32"/>
        </w:rPr>
        <w:t xml:space="preserve">作品名称：</w:t>
      </w:r>
      <w:r>
        <w:t xml:space="preserve">知质·灵巡：面向新能源汽车智能工厂的质量风险主动管控数字员工</w:t>
      </w:r>
    </w:p>
    <w:p>
      <w:r>
        <w:t xml:space="preserve"/>
      </w:r>
    </w:p>
    <w:p>
      <w:pPr>
        <w:pStyle w:val="Heading1"/>
        <w:keepNext/>
      </w:pPr>
      <w:r>
        <w:t xml:space="preserve">开题报告part 1：命题前置分析与洞察</w:t>
      </w:r>
    </w:p>
    <w:p>
      <w:r>
        <w:t xml:space="preserve"/>
      </w:r>
    </w:p>
    <w:p>
      <w:pPr>
        <w:pStyle w:val="BodyText"/>
      </w:pPr>
      <w:r>
        <w:t xml:space="preserve">赛力斯已具备设备标准模型、实例台账、运行采集、维修工单、故障模式、点检保养及“一件一档、一车一档”等数智基础。新提供的脱敏数据进一步表明，现场难点不只在异常发现，也在知识闭环：406张工单中94.33%已关联设备，但故障模式关联率仅17.49%，类型一致的完整结构链仅15.27%；某设备121张工单中119张已关闭，却有120张未形成确认原因、0张关联故障模式。由此，本方案把数字员工定位为设备质量风险专员：既在缺陷显性化前捕捉参数与设备弱信号，也主动审计“工单已关、知识未闭”的风险，组织可验证证据、责任任务、复机确认和标准回写。</w:t>
      </w:r>
    </w:p>
    <w:p>
      <w:r>
        <w:t xml:space="preserve"/>
      </w:r>
    </w:p>
    <w:p>
      <w:pPr>
        <w:pStyle w:val="Heading1"/>
        <w:keepNext/>
      </w:pPr>
      <w:r>
        <w:t xml:space="preserve">开题报告part 2：整体解决方案设计</w:t>
      </w:r>
    </w:p>
    <w:p>
      <w:r>
        <w:t xml:space="preserve"/>
      </w:r>
    </w:p>
    <w:p>
      <w:pPr>
        <w:pStyle w:val="BodyText"/>
      </w:pPr>
      <w:r>
        <w:t xml:space="preserve">“知质·灵巡”采用“一套知识底座、两类主动触发、一条受控闭环”。底座以设备类型—实例—功能—工单—故障模式为主链，并连接工位、参数、质量特性、VIN/批次、PFMEA、控制计划和责任角色。第一类触发来自实时参数与告警：数据质量门、工艺规则、EWMA/CUSUM和响应残差识别弱信号，GraphRAG沿关系子图形成Top-3候选、支持/冲突证据、影响范围和反证动作。第二类触发来自工单知识债：系统按重复频次、原因/措施缺失和故障模式断链主动发现“闭而未解”，借助同类型设备与功能证据提出待验证候选。Agent执行“观察—研判—检索—推理—行动—复盘”，但不直接写PLC、不自动确认根因或质量放行。现有设备平台保持主数据权；飞书Aily、多维表格、任务、卡片和审批承载诊断、检查、复机、标准变更及回写回执。作品已形成企业脱敏数据审计与四类工艺仿真的互动工作台、36节点32关系的机制图谱、可执行审计脚本和飞书在线对象证据。90天试点分别验收实时风险的召回、前置量、影响范围与五门关闭，以及知识债识别复核率、错误自动写入为0和回写可追溯率100%，再按本体模块与流程模板复制到更多产线。</w:t>
      </w:r>
    </w:p>
    <w:p>
      <w:r>
        <w:t xml:space="preserve"/>
      </w:r>
    </w:p>
    <w:p>
      <w:r>
        <w:rPr>
          <w:b/>
          <w:color w:val="9E1B32"/>
        </w:rPr>
        <w:t xml:space="preserve">团队补充材料链接：</w:t>
      </w:r>
      <w:r>
        <w:t xml:space="preserve">https://github.com/zhijinDeng/Seris</w:t>
      </w:r>
    </w:p>
    <w:p>
      <w:r>
        <w:t xml:space="preserve"/>
      </w:r>
    </w:p>
    <w:p>
      <w:pPr>
        <w:pStyle w:val="BodyText"/>
      </w:pPr>
      <w:r>
        <w:t xml:space="preserve">在线质量事件表：https://larkcommunity.feishu.cn/base/DYAabhZeiagT0ZsjGaTcWFPrn7b?table=tblFo5Btaj0IBXiD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171C22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9E1B32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34424F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ReferenceList">
    <w:name w:val="Reference List"/>
    <w:basedOn w:val="Normal"/>
    <w:pPr>
      <w:ind w:left="360" w:hanging="240"/>
      <w:spacing w:after="50" w:line="220" w:lineRule="auto"/>
    </w:pPr>
    <w:rPr>
      <w:rFonts w:ascii="Calibri" w:eastAsia="Microsoft YaHei" w:hAnsi="Calibri"/>
      <w:sz w:val="18"/>
      <w:szCs w:val="18"/>
      <w:color w:val="172033"/>
    </w:r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
</Relationships>
</file>