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企业数据与仿真交互案例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9E1B32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9E1B32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9E1B32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一个企业脱敏数据审计和四个工程仿真工况。企业数据页展示625类设备、9673台实例、336项功能、1287条故障模式和406张工单的关系覆盖，并可启动“闭而未解”审计；实时管控页包含总装底盘合装拧紧、焊装侧围点焊、涂装中涂烘干、一体化压铸冷却，使用者可注入异常并观察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企业主案例锁定某安全防护设备121张工单：119张已关闭、120张未形成确认原因、0张关联故障模式。系统从同类型设备的已关联工单中提出两个维护因素候选，展示支持、冲突证据和待检查项，并明确保持人工确认，不把图谱相似性直接写成根因。</w:t>
      </w:r>
    </w:p>
    <w:p>
      <w:r>
        <w:t xml:space="preserve"/>
      </w:r>
    </w:p>
    <w:p>
      <w:pPr>
        <w:pStyle w:val="BodyText"/>
      </w:pPr>
      <w:r>
        <w:t xml:space="preserve">数字员工窗口提供六个追问入口：如何提前发现、为什么升级P1、因果结论是否可信、影响哪些VIN、如何派发飞书任务、关闭条件是什么。每个回答均由当前工况数据驱动，并显示E1/E2、规则包和知识版本四类依据按钮，可直接打开完整证据包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统一事件记录，页面按事件台账、处置任务、复检记录、设备维修、原生审批和复盘知识展示六对象状态。Base写入回读已在线核验；任务和文档为对象样例；机器人卡片、Aily、企业角色映射、原生审批和反向事件流待生产部署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交互案例呈现数字员工如何发现异常、组织证据、派发任务、校验现场处置关闭，并把标准审批与主平台回写交给独立知识债线程。</w:t>
      </w:r>
    </w:p>
    <w:p>
      <w:r>
        <w:t xml:space="preserve"/>
      </w:r>
    </w:p>
    <w:p>
      <w:pPr>
        <w:pStyle w:val="Heading1"/>
        <w:keepNext/>
      </w:pPr>
      <w:r>
        <w:t xml:space="preserve">六、交互状态机</w:t>
      </w:r>
    </w:p>
    <w:p>
      <w:r>
        <w:t xml:space="preserve"/>
      </w:r>
    </w:p>
    <w:p>
      <w:pPr>
        <w:pStyle w:val="BodyText"/>
      </w:pPr>
      <w:r>
        <w:t xml:space="preserve">企业数据审计按照“快照准入—关系完整性审计—知识债识别—同类证据检索—跨专业检查—标准审批—主平台回写—观察关闭”推进，候选故障模式不能跳过现场确认。实时风险按照“主动感知—图谱收敛—证据推理—飞书执行—物理复检—授权关闭”推进，P1未人工确认时关闭按钮保持禁用。两条状态机共享事件ID、证据规范和权限策略，但采用不同金标准。</w:t>
      </w:r>
    </w:p>
    <w:p>
      <w:r>
        <w:t xml:space="preserve"/>
      </w:r>
    </w:p>
    <w:p>
      <w:pPr>
        <w:pStyle w:val="BodyText"/>
      </w:pPr>
      <w:r>
        <w:t xml:space="preserve">决赛版工作台新增“异常处置全生命周期”面板，按导师反馈展开为：异常发现、信息确认、工单发起、任务分派、现场排查、原因判断、维修处置、运行确认、恢复生产、知识沉淀、检查标准审视、有效性观察。点击任一步可查看责任岗位、数字员工职责、必备证据、权限门和对应飞书对象。现场处置关闭后，知识标准仍显示“变更草案待审批”，观察节点显示“观察中”，不会把一次仿真验收展示成标准已经发布。</w:t>
      </w:r>
    </w:p>
    <w:p>
      <w:r>
        <w:t xml:space="preserve"/>
      </w:r>
    </w:p>
    <w:p>
      <w:pPr>
        <w:pStyle w:val="Heading1"/>
        <w:keepNext/>
      </w:pPr>
      <w:r>
        <w:t xml:space="preserve">七、页面交互明细</w:t>
      </w:r>
    </w:p>
    <w:p>
      <w:r>
        <w:t xml:space="preserve"/>
      </w:r>
    </w:p>
    <w:p>
      <w:pPr>
        <w:pStyle w:val="BodyText"/>
      </w:pPr>
      <w:r>
        <w:t xml:space="preserve">顶部生产态势根据选中工况动态点亮对应产线，时钟随回放阶段推进。企业数据页展示关系漏斗、知识债案例和审计轨迹；实时页展示风险、前置量、影响对象和趋势；回答区提供依据引用；处置区提供“验收任务与知识草案”。下方展示关系图路径、一车一因果链、稳定H编号与Rank重排、因果护栏、关闭门、六对象飞书轨迹和试点就绪门。</w:t>
      </w:r>
    </w:p>
    <w:p>
      <w:r>
        <w:t xml:space="preserve"/>
      </w:r>
    </w:p>
    <w:p>
      <w:pPr>
        <w:pStyle w:val="Heading1"/>
        <w:keepNext/>
      </w:pPr>
      <w:r>
        <w:t xml:space="preserve">八、演示数据边界</w:t>
      </w:r>
    </w:p>
    <w:p>
      <w:r>
        <w:t xml:space="preserve"/>
      </w:r>
    </w:p>
    <w:p>
      <w:pPr>
        <w:pStyle w:val="BodyText"/>
      </w:pPr>
      <w:r>
        <w:t xml:space="preserve">四类工况数值为工程化仿真参数，用于验证系统机制，不代表赛力斯真实工艺窗口。生产接入后，阈值、设备编码、质量等级、责任角色和关闭规则由企业质量、设备、工艺和IT共同确认。仿真案例保留足够的故障传播与协同复杂度，同时不暴露企业内部敏感数据。</w:t>
      </w:r>
    </w:p>
    <w:p>
      <w:r>
        <w:t xml:space="preserve"/>
      </w:r>
    </w:p>
    <w:p>
      <w:pPr>
        <w:pStyle w:val="Heading1"/>
        <w:keepNext/>
      </w:pPr>
      <w:r>
        <w:t xml:space="preserve">九、在线协同证明</w:t>
      </w:r>
    </w:p>
    <w:p>
      <w:r>
        <w:t xml:space="preserve"/>
      </w:r>
    </w:p>
    <w:p>
      <w:pPr>
        <w:pStyle w:val="BodyText"/>
      </w:pPr>
      <w:r>
        <w:t xml:space="preserve">总装拧紧案例的Base记录已完成在线写入回读；工作台中的任务和复盘文档链接提供对象样例。在线证据只证明相应对象或接口步骤，不替代企业应用身份、角色映射、审批回执和反向事件流验收。</w:t>
      </w:r>
    </w:p>
    <w:p>
      <w:r>
        <w:t xml:space="preserve"/>
      </w:r>
    </w:p>
    <w:p>
      <w:pPr>
        <w:pStyle w:val="Heading1"/>
        <w:keepNext/>
      </w:pPr>
      <w:r>
        <w:t xml:space="preserve">十、反事实实验与候选根因重排</w:t>
      </w:r>
    </w:p>
    <w:p>
      <w:r>
        <w:t xml:space="preserve"/>
      </w:r>
    </w:p>
    <w:p>
      <w:pPr>
        <w:pStyle w:val="BodyText"/>
      </w:pPr>
      <w:r>
        <w:t xml:space="preserve">每个场景包含两项干预。选择动作后，页面先展示必填实测项目和验收准则，不立即认定复检通过；提交脱敏实测流程后，系统更新Top-3后验、反证护栏、关闭门、事件护照和导出JSON。假设身份始终保持H1/H2/H3，排序另用Rank表示；焊装“二次回路阻抗阶跃检查”使H2由Rank 2升为Rank 1，展示系统能够依据新证据推翻初始排序。</w:t>
      </w:r>
    </w:p>
    <w:p>
      <w:r>
        <w:t xml:space="preserve"/>
      </w:r>
    </w:p>
    <w:p>
      <w:pPr>
        <w:pStyle w:val="Heading1"/>
        <w:keepNext/>
      </w:pPr>
      <w:r>
        <w:t xml:space="preserve">十一、模式策略与故障演练</w:t>
      </w:r>
    </w:p>
    <w:p>
      <w:r>
        <w:t xml:space="preserve"/>
      </w:r>
    </w:p>
    <w:p>
      <w:pPr>
        <w:pStyle w:val="BodyText"/>
      </w:pPr>
      <w:r>
        <w:t xml:space="preserve">顶部三段控制展示影子验证、协同执行和生产受控边界。影子模式下派单、确认、回写和关闭被策略服务禁用；点击生产受控不会授予L3，页面提示必须由企业审批和服务端策略发布。价值验证区可注入数据延迟、图谱不可用和飞书中断，验证冻结、规则只读和Outbox补偿路径。</w:t>
      </w:r>
    </w:p>
    <w:p>
      <w:r>
        <w:t xml:space="preserve"/>
      </w:r>
    </w:p>
    <w:p>
      <w:pPr>
        <w:pStyle w:val="BodyText"/>
      </w:pPr>
      <w:r>
        <w:t xml:space="preserve">职责链明确数字员工无放行权，质量、检测、设备/工艺和质量负责人分别签收隔离、实测、首件与关闭；演示身份均为脱敏数据。</w:t>
      </w:r>
    </w:p>
    <w:p>
      <w:r>
        <w:t xml:space="preserve"/>
      </w:r>
    </w:p>
    <w:p>
      <w:pPr>
        <w:pStyle w:val="Heading1"/>
        <w:keepNext/>
      </w:pPr>
      <w:r>
        <w:t xml:space="preserve">十二、公开数据验证层</w:t>
      </w:r>
    </w:p>
    <w:p>
      <w:r>
        <w:t xml:space="preserve"/>
      </w:r>
    </w:p>
    <w:p>
      <w:pPr>
        <w:pStyle w:val="BodyText"/>
      </w:pPr>
      <w:r>
        <w:t xml:space="preserve">UCI SECOM只作为通用质量风险检测与数据治理的独立验证层。官方数据页面给出1567条样本、591个匿名特征、时间戳、缺失值和-1/+1标签；页面和材料不把匿名特征解释为赛力斯工艺参数，也不以其证明赛力斯设备根因、维修措施、VIN范围、复机结果或现场收益。原始数据不随仓库提交，来源、映射和待复现指标见`data/public_benchmark_profile.json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