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答辩演示说明与完整案例</w:t>
      </w:r>
    </w:p>
    <w:p>
      <w:pPr>
        <w:pStyle w:val="Heading1"/>
      </w:pPr>
      <w:r>
        <w:t>为什么要保留平台原型</w:t>
      </w:r>
    </w:p>
    <w:p>
      <w:r>
        <w:t>本项目的核心不是做平台，而是构建一名赛力斯超级工厂质量管控AI数字员工。平台原型的作用是把抽象方案可视化：让评委看到异常如何进入、知识图谱如何组织证据、Graph RAG如何推理、Agent如何拆分任务、飞书如何闭环执行。因此平台是方案可信度的演示件，不是项目的全部。</w:t>
      </w:r>
    </w:p>
    <w:p>
      <w:pPr>
        <w:pStyle w:val="Heading1"/>
      </w:pPr>
      <w:r>
        <w:t>演示路径</w:t>
      </w:r>
    </w:p>
    <w:p>
      <w:r>
        <w:t>1. 打开 app/index.html，选择总装拧紧异常 E-20260717-001。</w:t>
      </w:r>
      <w:r>
        <w:br/>
      </w:r>
      <w:r>
        <w:t>2. 查看证据链：总装一线、底盘合装、TQ-17拧紧枪、扭矩偏低、预紧力不足。</w:t>
      </w:r>
      <w:r>
        <w:br/>
      </w:r>
      <w:r>
        <w:t>3. 查看飞书任务看板：AI将处置建议拆分为隔离、复检、校准、检查套筒等任务。</w:t>
      </w:r>
      <w:r>
        <w:br/>
      </w:r>
      <w:r>
        <w:t>4. 运行 python scripts/run_quality_agent.py，展示命令行Agent如何输出风险等级、根因假设、证据链和处置方案。</w:t>
      </w:r>
      <w:r>
        <w:br/>
      </w:r>
      <w:r>
        <w:t>5. 运行 python scripts/feishu_client.py --event-id E-20260717-001 --write-preview，展示飞书多维表格记录、Webhook卡片和Aily提示词。</w:t>
      </w:r>
    </w:p>
    <w:p>
      <w:pPr>
        <w:pStyle w:val="Heading1"/>
      </w:pPr>
      <w:r>
        <w:t>完整案例摘要</w:t>
      </w:r>
    </w:p>
    <w:p>
      <w:r>
        <w:t>总装底盘合装工位中，TQ-17智能拧紧枪检测到M12底盘螺栓扭矩为86.4N·m，低于92.0-108.0N·m工艺窗口，并连续3辆车同点位低于下限。AI数字员工将其评为P1风险，沿知识图谱召回设备-工位-参数-质量特性-缺陷模式-历史案例证据链，判断疑似根因为套筒磨损或扭矩校准偏移。</w:t>
      </w:r>
    </w:p>
    <w:p>
      <w:pPr>
        <w:pStyle w:val="Heading1"/>
      </w:pPr>
      <w:r>
        <w:t>飞书闭环</w:t>
      </w:r>
    </w:p>
    <w:p>
      <w:r>
        <w:t>处置方案为：暂停该点位自动放行，隔离VIN尾号8123-8125车辆，复检扭矩，校准TQ-17，检查并更换套筒。飞书侧自动写入质量事件表、拆分处置任务、推送机器人卡片，并在任务关闭后沉淀复盘知识。</w:t>
      </w:r>
    </w:p>
    <w:p>
      <w:pPr>
        <w:pStyle w:val="Heading1"/>
      </w:pPr>
      <w:r>
        <w:t>评分点对应</w:t>
      </w:r>
    </w:p>
    <w:p>
      <w:r>
        <w:t>智能制造知识底座：本体、质量知识图谱、历史案例、控制计划。</w:t>
      </w:r>
      <w:r>
        <w:br/>
      </w:r>
      <w:r>
        <w:t>从感知到行动：异常事件、Agent推理、飞书任务、复盘回写。</w:t>
      </w:r>
      <w:r>
        <w:br/>
      </w:r>
      <w:r>
        <w:t>Graph RAG：图谱子图召回、文档/案例证据、可解释路径。</w:t>
      </w:r>
      <w:r>
        <w:br/>
      </w:r>
      <w:r>
        <w:t>Autonomous Agent：风险评分、根因假设、任务拆解、工具调用。</w:t>
      </w:r>
      <w:r>
        <w:br/>
      </w:r>
      <w:r>
        <w:t>飞书落地：Aily提示词、多维表格记录、Webhook卡片、SLA看板。</w:t>
      </w:r>
    </w:p>
    <w:p>
      <w:pPr>
        <w:pStyle w:val="Heading1"/>
      </w:pPr>
      <w:r>
        <w:t>结论</w:t>
      </w:r>
    </w:p>
    <w:p>
      <w:r>
        <w:t>本方案用轻量原型证明真实落地路径：先从三类高价值质量场景试点，再扩展到更多产线和设备；先用dry-run验证飞书payload，再接入真实飞书开放平台；先沉淀案例和规则，再持续扩展知识图谱。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1"/>
    </w:rPr>
  </w:style>
  <w:style w:type="paragraph" w:styleId="Title">
    <w:name w:val="Title"/>
    <w:rPr>
      <w:b/>
      <w:rFonts w:ascii="Calibri" w:eastAsia="Microsoft YaHei"/>
      <w:sz w:val="36"/>
    </w:rPr>
  </w:style>
  <w:style w:type="paragraph" w:styleId="Heading1">
    <w:name w:val="heading 1"/>
    <w:rPr>
      <w:b/>
      <w:color w:val="1F4E79"/>
      <w:rFonts w:ascii="Calibri" w:eastAsia="Microsoft YaHei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