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报名表填写文本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r>
        <w:rPr>
          <w:b/>
          <w:color w:val="1F4D78"/>
        </w:rPr>
        <w:t xml:space="preserve">企业命题：</w:t>
      </w:r>
      <w:r>
        <w:t xml:space="preserve">如果加入赛力斯超级工厂团队，如何打造一名会主动管控设备质量风险的AI数字员工。</w:t>
      </w:r>
    </w:p>
    <w:p>
      <w:r>
        <w:t xml:space="preserve"/>
      </w:r>
    </w:p>
    <w:p>
      <w:r>
        <w:rPr>
          <w:b/>
          <w:color w:val="1F4D78"/>
        </w:rPr>
        <w:t xml:space="preserve">队伍名称：</w:t>
      </w:r>
      <w:r>
        <w:t xml:space="preserve">智造知行队</w:t>
      </w:r>
    </w:p>
    <w:p>
      <w:r>
        <w:t xml:space="preserve"/>
      </w:r>
    </w:p>
    <w:p>
      <w:r>
        <w:rPr>
          <w:b/>
          <w:color w:val="1F4D78"/>
        </w:rPr>
        <w:t xml:space="preserve">作品名称：</w:t>
      </w:r>
      <w:r>
        <w:t xml:space="preserve">知质·灵巡：面向新能源汽车智能工厂的质量风险主动管控数字员工</w:t>
      </w:r>
    </w:p>
    <w:p>
      <w:r>
        <w:t xml:space="preserve"/>
      </w:r>
    </w:p>
    <w:p>
      <w:pPr>
        <w:pStyle w:val="BodyText"/>
      </w:pPr>
      <w:r>
        <w:t xml:space="preserve">核心定位：构建一名具备“主动巡检、证据推理、协同处置、复盘学习”能力的质量数字员工，把设备参数波动、工艺窗口偏移和批次质量风险转化为可解释、可派发、可关闭的现场行动。</w:t>
      </w:r>
    </w:p>
    <w:p>
      <w:r>
        <w:t xml:space="preserve"/>
      </w:r>
    </w:p>
    <w:p>
      <w:pPr>
        <w:pStyle w:val="BodyText"/>
      </w:pPr>
      <w:r>
        <w:t xml:space="preserve">开题报告part 1：赛力斯超级工厂已迈向高度自动化与智能化，真正的质量风险往往不等到终检才出现，而是提前隐藏在设备状态、工艺窗口、参数漂移、零件批次和人员处置链路中。公开资料显示，赛力斯已具备质量自动化管理、异常定位、控线和一车一档基础。本方案的判断是：不能再做被动问答式知识库，而要把知识图谱、GraphRAG和飞书协同变成一名会主动巡检、解释证据、推动任务、复盘学习的质量数字员工。</w:t>
      </w:r>
    </w:p>
    <w:p>
      <w:r>
        <w:t xml:space="preserve"/>
      </w:r>
    </w:p>
    <w:p>
      <w:pPr>
        <w:pStyle w:val="BodyText"/>
      </w:pPr>
      <w:r>
        <w:t xml:space="preserve">开题报告part 2：方案命名为“知质·灵巡”。整体概述上，它是一名设备质量风险主动管控数字员工，目标是把工艺过程、设备报警和参数波动转化为可解释、可派发、可关闭的质量行动。架构上，底层以本体论建设质量知识底座，统一产品、工艺、设备、传感器、参数、报警、缺陷模式、根因、控制计划、VIN和处置任务，并接入MES、QMS、SCADA/PLC、FMEA、维修记录、质检报告和飞书任务数据；中层采用GraphRAG，当拧紧扭矩、焊点电流、涂装温度、压铸模温差等异常出现时，沿知识图谱检索工序、设备、阈值、历史案例和质量后果，生成可验证证据链；上层由Autonomous Agent执行“观察-研判-检索-推理-行动-复盘”循环，自动输出风险等级、影响范围、疑似根因、复检项目、维修动作和放行条件，并通过飞书Aily、多维表格、机器人卡片完成任务流转。创新点在于从被动问答升级为主动巡检，从单点报警升级为一车一因果链，从一次性分析升级为风险线程闭环。首期落地总装拧紧、焊装点焊、涂装烘干和压铸冷却四类工况，目标是异常定位时间下降40%-60%，P1任务派发小于1分钟，关键工序追溯覆盖100%，重复质量问题下降15%-25%，并可复制到更多产线。</w:t>
      </w:r>
    </w:p>
    <w:p>
      <w:r>
        <w:t xml:space="preserve"/>
      </w:r>
    </w:p>
    <w:p>
      <w:r>
        <w:rPr>
          <w:b/>
          <w:color w:val="1F4D78"/>
        </w:rPr>
        <w:t xml:space="preserve">团队补充材料链接：</w:t>
      </w:r>
      <w:r>
        <w:t xml:space="preserve">https://github.com/zhijinDeng/Seris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0B2545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2E74B5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2E74B5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