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参考文献与数据依据</w:t>
      </w:r>
    </w:p>
    <w:p>
      <w:pPr>
        <w:pStyle w:val="Subtitle"/>
      </w:pPr>
      <w:r>
        <w:t xml:space="preserve">赛力斯企业命题参赛材料</w:t>
      </w:r>
    </w:p>
    <w:tbl>
      <w:tblPr>
        <w:tblStyle w:val="TableGrid"/>
        <w:tblW w:w="9360" w:type="dxa"/>
        <w:tblInd w:w="120" w:type="dxa"/>
        <w:tblLayout w:type="fixed"/>
        <w:tblBorders>
          <w:top w:val="single" w:sz="4" w:color="D9E0EA"/>
          <w:left w:val="single" w:sz="4" w:color="D9E0EA"/>
          <w:bottom w:val="single" w:sz="4" w:color="D9E0EA"/>
          <w:right w:val="single" w:sz="4" w:color="D9E0EA"/>
          <w:insideH w:val="single" w:sz="4" w:color="D9E0EA"/>
          <w:insideV w:val="single" w:sz="4" w:color="D9E0EA"/>
        </w:tblBorders>
      </w:tblPr>
      <w:tblGrid>
        <w:gridCol w:w="1900"/>
        <w:gridCol w:w="7460"/>
      </w:tblGrid>
      <w:tr>
        <w:tc>
          <w:tcPr>
            <w:tcW w:w="1900" w:type="dxa"/>
            <w:tcMar>
              <w:top w:w="100" w:type="dxa"/>
              <w:bottom w:w="100" w:type="dxa"/>
              <w:start w:w="140" w:type="dxa"/>
              <w:end w:w="140" w:type="dxa"/>
            </w:tcMar>
          </w:tcPr>
          <w:p>
            <w:r>
              <w:t xml:space="preserve">作品名称</w:t>
            </w:r>
          </w:p>
        </w:tc>
        <w:tc>
          <w:tcPr>
            <w:tcW w:w="7460" w:type="dxa"/>
            <w:tcMar>
              <w:top w:w="100" w:type="dxa"/>
              <w:bottom w:w="100" w:type="dxa"/>
              <w:start w:w="140" w:type="dxa"/>
              <w:end w:w="140" w:type="dxa"/>
            </w:tcMar>
          </w:tcPr>
          <w:p>
            <w:r>
              <w:t xml:space="preserve">知质·灵巡：面向新能源汽车智能工厂的质量风险主动管控数字员工</w:t>
            </w:r>
          </w:p>
        </w:tc>
      </w:tr>
      <w:tr>
        <w:tc>
          <w:tcPr>
            <w:tcW w:w="1900" w:type="dxa"/>
            <w:tcMar>
              <w:top w:w="100" w:type="dxa"/>
              <w:bottom w:w="100" w:type="dxa"/>
              <w:start w:w="140" w:type="dxa"/>
              <w:end w:w="140" w:type="dxa"/>
            </w:tcMar>
          </w:tcPr>
          <w:p>
            <w:r>
              <w:t xml:space="preserve">参赛队伍</w:t>
            </w:r>
          </w:p>
        </w:tc>
        <w:tc>
          <w:tcPr>
            <w:tcW w:w="7460" w:type="dxa"/>
            <w:tcMar>
              <w:top w:w="100" w:type="dxa"/>
              <w:bottom w:w="100" w:type="dxa"/>
              <w:start w:w="140" w:type="dxa"/>
              <w:end w:w="140" w:type="dxa"/>
            </w:tcMar>
          </w:tcPr>
          <w:p>
            <w:r>
              <w:t xml:space="preserve">智造知行队</w:t>
            </w:r>
          </w:p>
        </w:tc>
      </w:tr>
      <w:tr>
        <w:tc>
          <w:tcPr>
            <w:tcW w:w="1900" w:type="dxa"/>
            <w:tcMar>
              <w:top w:w="100" w:type="dxa"/>
              <w:bottom w:w="100" w:type="dxa"/>
              <w:start w:w="140" w:type="dxa"/>
              <w:end w:w="140" w:type="dxa"/>
            </w:tcMar>
          </w:tcPr>
          <w:p>
            <w:r>
              <w:t xml:space="preserve">数字员工</w:t>
            </w:r>
          </w:p>
        </w:tc>
        <w:tc>
          <w:tcPr>
            <w:tcW w:w="7460" w:type="dxa"/>
            <w:tcMar>
              <w:top w:w="100" w:type="dxa"/>
              <w:bottom w:w="100" w:type="dxa"/>
              <w:start w:w="140" w:type="dxa"/>
              <w:end w:w="140" w:type="dxa"/>
            </w:tcMar>
          </w:tcPr>
          <w:p>
            <w:r>
              <w:t xml:space="preserve">知质·灵巡</w:t>
            </w:r>
          </w:p>
        </w:tc>
      </w:tr>
      <w:tr>
        <w:tc>
          <w:tcPr>
            <w:tcW w:w="1900" w:type="dxa"/>
            <w:tcMar>
              <w:top w:w="100" w:type="dxa"/>
              <w:bottom w:w="100" w:type="dxa"/>
              <w:start w:w="140" w:type="dxa"/>
              <w:end w:w="140" w:type="dxa"/>
            </w:tcMar>
          </w:tcPr>
          <w:p>
            <w:r>
              <w:t xml:space="preserve">材料定位</w:t>
            </w:r>
          </w:p>
        </w:tc>
        <w:tc>
          <w:tcPr>
            <w:tcW w:w="7460" w:type="dxa"/>
            <w:tcMar>
              <w:top w:w="100" w:type="dxa"/>
              <w:bottom w:w="100" w:type="dxa"/>
              <w:start w:w="140" w:type="dxa"/>
              <w:end w:w="140" w:type="dxa"/>
            </w:tcMar>
          </w:tcPr>
          <w:p>
            <w:r>
              <w:t xml:space="preserve">设备质量风险主动识别、证据推理、飞书协同与复盘闭环</w:t>
            </w:r>
          </w:p>
        </w:tc>
      </w:tr>
    </w:tbl>
    <w:p>
      <w:pPr>
        <w:pStyle w:val="SmallSpace"/>
      </w:pPr>
      <w:r>
        <w:t xml:space="preserve"/>
      </w:r>
    </w:p>
    <w:p>
      <w:r>
        <w:t xml:space="preserve"/>
      </w:r>
    </w:p>
    <w:p>
      <w:pPr>
        <w:pStyle w:val="Heading1"/>
        <w:keepNext/>
      </w:pPr>
      <w:r>
        <w:t xml:space="preserve">一、企业与平台公开资料</w:t>
      </w:r>
    </w:p>
    <w:p>
      <w:r>
        <w:t xml:space="preserve"/>
      </w:r>
    </w:p>
    <w:p>
      <w:pPr>
        <w:pStyle w:val="ListParagraph"/>
        <w:numPr>
          <w:ilvl w:val="0"/>
          <w:numId w:val="2"/>
        </w:numPr>
      </w:pPr>
      <w:r>
        <w:t xml:space="preserve">新华网，《赛力斯超级工厂树立行业标杆 以智能制造加速发展新质生产力》，https://www.xinhuanet.com/auto/20241218/569552f0399148ffb6172ba69f530ff3/c.html。用于支撑赛力斯超级工厂全价值链质量数据、异常特征提取、控线、异常设备定位和一车一档等设计依据。</w:t>
      </w:r>
    </w:p>
    <w:p>
      <w:r>
        <w:t xml:space="preserve"/>
      </w:r>
    </w:p>
    <w:p>
      <w:pPr>
        <w:pStyle w:val="ListParagraph"/>
        <w:numPr>
          <w:ilvl w:val="0"/>
          <w:numId w:val="2"/>
        </w:numPr>
      </w:pPr>
      <w:r>
        <w:t xml:space="preserve">华为企业业务，《解码赛力斯超级工厂智慧园区，共启“智”造新时代》，https://e.huawei.com/cn/case-studies/solutions/campus/202509-seres。用于支撑AI、联接、计算、存储、云、数字能源、AIoT检测、数字班组和全过程质量数据采集背景。</w:t>
      </w:r>
    </w:p>
    <w:p>
      <w:r>
        <w:t xml:space="preserve"/>
      </w:r>
    </w:p>
    <w:p>
      <w:pPr>
        <w:pStyle w:val="ListParagraph"/>
        <w:numPr>
          <w:ilvl w:val="0"/>
          <w:numId w:val="2"/>
        </w:numPr>
      </w:pPr>
      <w:r>
        <w:t xml:space="preserve">华为数字能源，《赛力斯超级工厂的“超级大脑”》，https://digitalpower.huawei.com/cn/cases/data-center-facility/seres-factory-smart-modular-data-center。用于支撑关键生产环节提前预警、监测追溯、质量数据自动采集和底盘螺丝AI检测效率提升案例。</w:t>
      </w:r>
    </w:p>
    <w:p>
      <w:r>
        <w:t xml:space="preserve"/>
      </w:r>
    </w:p>
    <w:p>
      <w:pPr>
        <w:pStyle w:val="ListParagraph"/>
        <w:numPr>
          <w:ilvl w:val="0"/>
          <w:numId w:val="2"/>
        </w:numPr>
      </w:pPr>
      <w:r>
        <w:t xml:space="preserve">飞书开放平台，多维表格记录接口，https://open.feishu.cn/document/server-docs/docs/bitable-v1/app-table-record/create?lang=zh-CN。用于支撑质量事件、处置任务和复盘记录写入多维表格。</w:t>
      </w:r>
    </w:p>
    <w:p>
      <w:r>
        <w:t xml:space="preserve"/>
      </w:r>
    </w:p>
    <w:p>
      <w:pPr>
        <w:pStyle w:val="ListParagraph"/>
        <w:numPr>
          <w:ilvl w:val="0"/>
          <w:numId w:val="2"/>
        </w:numPr>
      </w:pPr>
      <w:r>
        <w:t xml:space="preserve">飞书开放平台，自定义机器人使用指南，https://open.feishu.cn/document/client-docs/bot-v3/add-custom-bot?lang=zh-CN。用于支撑P1/P2风险卡片、班组群通知和处置提醒。</w:t>
      </w:r>
    </w:p>
    <w:p>
      <w:r>
        <w:t xml:space="preserve"/>
      </w:r>
    </w:p>
    <w:p>
      <w:pPr>
        <w:pStyle w:val="ListParagraph"/>
        <w:numPr>
          <w:ilvl w:val="0"/>
          <w:numId w:val="2"/>
        </w:numPr>
      </w:pPr>
      <w:r>
        <w:t xml:space="preserve">飞书智能伙伴Aily自定义触发器，https://www.feishu.cn/content/x7vl16zz。用于支撑通过Webhook触发Aily技能、把企业系统事件转入智能处理流程。</w:t>
      </w:r>
    </w:p>
    <w:p>
      <w:r>
        <w:t xml:space="preserve"/>
      </w:r>
    </w:p>
    <w:p>
      <w:pPr>
        <w:pStyle w:val="ListParagraph"/>
        <w:numPr>
          <w:ilvl w:val="0"/>
          <w:numId w:val="2"/>
        </w:numPr>
      </w:pPr>
      <w:r>
        <w:t xml:space="preserve">飞书帮助中心，飞书Aily，https://www.feishu.cn/hc/zh-CN/articles/790732948604-%E5%BF%AB%E9%80%9F%E4%BA%86%E8%A7%A3%E9%A3%9E%E4%B9%A6-aily。用于支撑企业内部智能应用入口、自然语言查询和工作流连接。</w:t>
      </w:r>
    </w:p>
    <w:p>
      <w:r>
        <w:t xml:space="preserve"/>
      </w:r>
    </w:p>
    <w:p>
      <w:pPr>
        <w:pStyle w:val="Heading1"/>
        <w:keepNext/>
      </w:pPr>
      <w:r>
        <w:t xml:space="preserve">二、技术资料</w:t>
      </w:r>
    </w:p>
    <w:p>
      <w:r>
        <w:t xml:space="preserve"/>
      </w:r>
    </w:p>
    <w:p>
      <w:pPr>
        <w:pStyle w:val="ListParagraph"/>
        <w:numPr>
          <w:ilvl w:val="0"/>
          <w:numId w:val="2"/>
        </w:numPr>
      </w:pPr>
      <w:r>
        <w:t xml:space="preserve">Interactive and Intelligent Root Cause Analysis in Manufacturing Processes，https://arxiv.org/pdf/2402.00043。用于参考电动汽车制造根因分析、制造知识图谱、因果贝叶斯网络和专家交互反馈机制。</w:t>
      </w:r>
    </w:p>
    <w:p>
      <w:r>
        <w:t xml:space="preserve"/>
      </w:r>
    </w:p>
    <w:p>
      <w:pPr>
        <w:pStyle w:val="ListParagraph"/>
        <w:numPr>
          <w:ilvl w:val="0"/>
          <w:numId w:val="2"/>
        </w:numPr>
      </w:pPr>
      <w:r>
        <w:t xml:space="preserve">Document GraphRAG: Knowledge Graph Enhanced Retrieval Augmented Generation for Document Question Answering Within the Manufacturing Domain，https://www.mdpi.com/2079-9292/14/11/2102。用于支撑制造领域GraphRAG比普通文本检索更适合多跳关系推理。</w:t>
      </w:r>
    </w:p>
    <w:p>
      <w:r>
        <w:t xml:space="preserve"/>
      </w:r>
    </w:p>
    <w:p>
      <w:pPr>
        <w:pStyle w:val="ListParagraph"/>
        <w:numPr>
          <w:ilvl w:val="0"/>
          <w:numId w:val="2"/>
        </w:numPr>
      </w:pPr>
      <w:r>
        <w:t xml:space="preserve">Knowledge Graph Construction towards a Graph RAG-Enhanced Intelligent Maintenance Chatbot，https://ceur-ws.org/Vol-4064/SKGi-paper3.pdf。用于参考维护知识图谱、规则构建和GraphRAG增强的设备维护问答。</w:t>
      </w:r>
    </w:p>
    <w:p>
      <w:r>
        <w:t xml:space="preserve"/>
      </w:r>
    </w:p>
    <w:p>
      <w:pPr>
        <w:pStyle w:val="ListParagraph"/>
        <w:numPr>
          <w:ilvl w:val="0"/>
          <w:numId w:val="2"/>
        </w:numPr>
      </w:pPr>
      <w:r>
        <w:t xml:space="preserve">An Intelligent Quality Control Method for Manufacturing Processes Based on a Human-Cyber-Physical Knowledge Graph，https://www.engineering.org.cn/engi/EN/10.1016/j.eng.2024.03.022。用于参考人-信息-物理系统质量知识图谱、本体构建和质量辅助决策方法。</w:t>
      </w:r>
    </w:p>
    <w:p>
      <w:r>
        <w:t xml:space="preserve"/>
      </w:r>
    </w:p>
    <w:p>
      <w:pPr>
        <w:pStyle w:val="ListParagraph"/>
        <w:numPr>
          <w:ilvl w:val="0"/>
          <w:numId w:val="2"/>
        </w:numPr>
      </w:pPr>
      <w:r>
        <w:t xml:space="preserve">Data-driven and Knowledge-based Predictive Maintenance Method for Industrial Robots，https://www.sciencedirect.com/science/article/abs/pii/S095741742301638X。用于参考新能源车焊装机器人预测性维护中“数据驱动+知识图谱”的设备健康建模思路。</w:t>
      </w:r>
    </w:p>
    <w:p>
      <w:r>
        <w:t xml:space="preserve"/>
      </w:r>
    </w:p>
    <w:p>
      <w:pPr>
        <w:pStyle w:val="ListParagraph"/>
        <w:numPr>
          <w:ilvl w:val="0"/>
          <w:numId w:val="2"/>
        </w:numPr>
      </w:pPr>
      <w:r>
        <w:t xml:space="preserve">Root Cause Analysis in Industrial Manufacturing: A Scoping Review of Current Research，https://www.mdpi.com/2504-4494/8/6/277。用于补充制造根因分析中数据驱动与知识驱动方法的研究现状。</w:t>
      </w:r>
    </w:p>
    <w:p>
      <w:r>
        <w:t xml:space="preserve"/>
      </w:r>
    </w:p>
    <w:p>
      <w:pPr>
        <w:pStyle w:val="ListParagraph"/>
        <w:numPr>
          <w:ilvl w:val="0"/>
          <w:numId w:val="2"/>
        </w:numPr>
      </w:pPr>
      <w:r>
        <w:t xml:space="preserve">ProQ-KG: Integrated Cyber-Physical Production System Knowledge Graph for Quality Issue Analysis，https://www.semantic-web-journal.net/system/files/swj4020.pdf。用于参考PPR与FMEA融合本体，支撑产品、过程、资源和失效模式统一建模。</w:t>
      </w:r>
    </w:p>
    <w:p>
      <w:r>
        <w:t xml:space="preserve"/>
      </w:r>
    </w:p>
    <w:p>
      <w:pPr>
        <w:pStyle w:val="ListParagraph"/>
        <w:numPr>
          <w:ilvl w:val="0"/>
          <w:numId w:val="2"/>
        </w:numPr>
      </w:pPr>
      <w:r>
        <w:t xml:space="preserve">Making knowledge graphs work for smart manufacturing，https://www.sciencedirect.com/science/article/pii/S0278612524001572。用于参考知识图谱在智能制造中从关系表达走向实际应用的关键问题。</w:t>
      </w:r>
    </w:p>
    <w:p>
      <w:r>
        <w:t xml:space="preserve"/>
      </w:r>
    </w:p>
    <w:p>
      <w:pPr>
        <w:pStyle w:val="Heading1"/>
        <w:keepNext/>
      </w:pPr>
      <w:r>
        <w:t xml:space="preserve">三、样例数据说明</w:t>
      </w:r>
    </w:p>
    <w:p>
      <w:r>
        <w:t xml:space="preserve"/>
      </w:r>
    </w:p>
    <w:p>
      <w:pPr>
        <w:pStyle w:val="BodyText"/>
      </w:pPr>
      <w:r>
        <w:t xml:space="preserve">项目中的工况数据为面向命题构建的仿真样例，字段结构按真实智能制造系统常见对象设计，包括设备、工位、参数、阈值、报警、质量风险、VIN或零件范围、历史案例、处置任务和飞书记录。样例数据不声称来自企业内部系统，主要用于验证方案架构、交互流程和闭环逻辑。</w:t>
      </w:r>
    </w:p>
    <w:sectPr>
      <w:pgSz w:w="12240" w:h="15840"/>
      <w:pgMar w:top="1440" w:right="1440" w:bottom="1440" w:left="1440" w:header="708" w:footer="708" w:gutter="0"/>
    </w:sectPr>
  </w:body>
</w:document>
</file>

<file path=word/numbering.xml><?xml version="1.0" encoding="utf-8"?>
<w:numbering xmlns:w="http://schemas.openxmlformats.org/wordprocessingml/2006/main">
  <w:abstractNum w:abstractNumId="1">
    <w:lvl w:ilvl="0">
      <w:start w:val="1"/>
      <w:numFmt w:val="bullet"/>
      <w:lvlText w:val="•"/>
      <w:lvlJc w:val="left"/>
      <w:pPr>
        <w:tabs>
          <w:tab w:val="num" w:pos="720"/>
        </w:tabs>
        <w:ind w:left="720" w:hanging="360"/>
      </w:pPr>
    </w:lvl>
  </w:abstractNum>
  <w:abstractNum w:abstractNumId="2">
    <w:lvl w:ilvl="0">
      <w:start w:val="1"/>
      <w:numFmt w:val="decimal"/>
      <w:lvlText w:val="%1."/>
      <w:lvlJc w:val="left"/>
      <w:pPr>
        <w:tabs>
          <w:tab w:val="num" w:pos="720"/>
        </w:tabs>
        <w:ind w:left="720" w:hanging="360"/>
      </w:pPr>
    </w:lvl>
  </w:abstractNum>
  <w:num w:numId="1">
    <w:abstractNumId w:val="1"/>
  </w:num>
  <w:num w:numId="2">
    <w:abstractNumId w:val="2"/>
  </w:num>
</w:numbering>
</file>

<file path=word/styles.xml><?xml version="1.0" encoding="utf-8"?>
<w:styles xmlns:w="http://schemas.openxmlformats.org/wordprocessingml/2006/main">
  <w:style w:type="paragraph" w:default="1" w:styleId="Normal">
    <w:name w:val="Normal"/>
    <w:pPr>
      <w:spacing w:after="120" w:line="264" w:lineRule="auto"/>
    </w:pPr>
    <w:rPr>
      <w:rFonts w:ascii="Calibri" w:eastAsia="Microsoft YaHei" w:hAnsi="Calibri"/>
      <w:sz w:val="22"/>
      <w:szCs w:val="22"/>
      <w:color w:val="172033"/>
    </w:rPr>
  </w:style>
  <w:style w:type="paragraph" w:styleId="Title">
    <w:name w:val="Title"/>
    <w:pPr>
      <w:spacing w:before="0" w:after="160"/>
    </w:pPr>
    <w:rPr>
      <w:rFonts w:ascii="Calibri" w:eastAsia="Microsoft YaHei" w:hAnsi="Calibri"/>
      <w:b/>
      <w:sz w:val="36"/>
      <w:szCs w:val="36"/>
      <w:color w:val="0B2545"/>
    </w:rPr>
  </w:style>
  <w:style w:type="paragraph" w:styleId="Subtitle">
    <w:name w:val="Subtitle"/>
    <w:pPr>
      <w:spacing w:after="240"/>
    </w:pPr>
    <w:rPr>
      <w:rFonts w:ascii="Calibri" w:eastAsia="Microsoft YaHei" w:hAnsi="Calibri"/>
      <w:sz w:val="22"/>
      <w:szCs w:val="22"/>
      <w:color w:val="657086"/>
    </w:rPr>
  </w:style>
  <w:style w:type="paragraph" w:styleId="Heading1">
    <w:name w:val="heading 1"/>
    <w:pPr>
      <w:keepNext/>
      <w:spacing w:before="320" w:after="160"/>
    </w:pPr>
    <w:rPr>
      <w:rFonts w:ascii="Calibri" w:eastAsia="Microsoft YaHei" w:hAnsi="Calibri"/>
      <w:b/>
      <w:sz w:val="32"/>
      <w:szCs w:val="32"/>
      <w:color w:val="2E74B5"/>
    </w:rPr>
  </w:style>
  <w:style w:type="paragraph" w:styleId="Heading2">
    <w:name w:val="heading 2"/>
    <w:pPr>
      <w:keepNext/>
      <w:spacing w:before="240" w:after="120"/>
    </w:pPr>
    <w:rPr>
      <w:rFonts w:ascii="Calibri" w:eastAsia="Microsoft YaHei" w:hAnsi="Calibri"/>
      <w:b/>
      <w:sz w:val="26"/>
      <w:szCs w:val="26"/>
      <w:color w:val="2E74B5"/>
    </w:rPr>
  </w:style>
  <w:style w:type="paragraph" w:styleId="BodyText">
    <w:name w:val="Body Text"/>
    <w:basedOn w:val="Normal"/>
    <w:pPr>
      <w:spacing w:after="120" w:line="264" w:lineRule="auto"/>
    </w:pPr>
  </w:style>
  <w:style w:type="paragraph" w:styleId="ListParagraph">
    <w:name w:val="List Paragraph"/>
    <w:basedOn w:val="Normal"/>
    <w:pPr>
      <w:ind w:left="720"/>
      <w:spacing w:after="120" w:line="280" w:lineRule="auto"/>
    </w:pPr>
  </w:style>
  <w:style w:type="paragraph" w:styleId="SmallSpace">
    <w:name w:val="Small Space"/>
    <w:pPr>
      <w:spacing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