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系统运行说明与完整案例</w:t>
      </w:r>
    </w:p>
    <w:p>
      <w:pPr>
        <w:pStyle w:val="Subtitle"/>
      </w:pPr>
      <w:r>
        <w:t xml:space="preserve">赛力斯企业命题参赛材料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1900"/>
        <w:gridCol w:w="7460"/>
      </w:tblGrid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作品名称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知质·灵巡：面向新能源汽车智能工厂的质量风险主动管控数字员工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参赛队伍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智造知行队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数字员工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材料定位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设备质量风险主动识别、证据推理、飞书协同与复盘闭环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一、案例题设</w:t>
      </w:r>
    </w:p>
    <w:p>
      <w:r>
        <w:t xml:space="preserve"/>
      </w:r>
    </w:p>
    <w:p>
      <w:pPr>
        <w:pStyle w:val="BodyText"/>
      </w:pPr>
      <w:r>
        <w:t xml:space="preserve">总装GA-12底盘合装工位中，TQ-17智能拧紧枪在14:18至14:26连续出现M12关键螺栓扭矩偏低。实测值为86.4N·m，工艺窗口为92-108N·m，影响VIN尾号8123-8125。同期角度补偿波动扩大，但车辆尚未全部下线，现场需要判断这是单点参数波动、设备状态问题，还是需要立即控线的质量风险。</w:t>
      </w:r>
    </w:p>
    <w:p>
      <w:r>
        <w:t xml:space="preserve"/>
      </w:r>
    </w:p>
    <w:p>
      <w:pPr>
        <w:pStyle w:val="Heading1"/>
        <w:keepNext/>
      </w:pPr>
      <w:r>
        <w:t xml:space="preserve">二、数字员工处置过程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主动捕捉：知质·灵巡从参数流中发现扭矩越界，并识别同一设备、同一工位、同一紧固点连续3辆车重复出现，优先级高于单点报警。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影响圈定：系统读取MES过站和设备时间窗，锁定VIN尾号8123-8125，并向上一次合格校验后的车辆扩展核查，形成车辆级风险清单。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图谱检索：系统沿“总装一线-底盘合装-TQ-17-拧紧参数-预紧力风险-FMEA条目-历史案例C-009”路径检索，获取套筒磨损、校准偏移、角度补偿波动和复检规范。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根因推理：GraphRAG返回历史案例、维修记录和控制计划，因果护栏排除后续工序因素，根因假设收敛为“套筒磨损叠加设备校准漂移”。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风险分级：如果只看单次数值越界，可归为P2；但该事件涉及关键安全连接件、连续车辆复现、角度补偿同步波动和历史案例匹配，因此升级为P1。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协同执行：系统写入飞书多维表格，向总装质量群发送风险卡片，并生成质量工程师、设备工程师、班组长和质量知识管理员四类任务。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关闭校验：复检合格、TQ-17校准完成、套筒更换完成、备用设备首件合格、质量负责人确认后，事件进入关闭状态。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知识回写：系统把“扭矩偏低-角度补偿波动-套筒磨损/校准漂移-复检与校准措施”的关系写回知识图谱，并更新后续巡检规则。</w:t>
      </w:r>
    </w:p>
    <w:p>
      <w:r>
        <w:t xml:space="preserve"/>
      </w:r>
    </w:p>
    <w:p>
      <w:pPr>
        <w:pStyle w:val="Heading1"/>
        <w:keepNext/>
      </w:pPr>
      <w:r>
        <w:t xml:space="preserve">三、输出结果</w:t>
      </w:r>
    </w:p>
    <w:p>
      <w:r>
        <w:t xml:space="preserve"/>
      </w:r>
    </w:p>
    <w:p>
      <w:r>
        <w:rPr>
          <w:b/>
          <w:color w:val="1F4D78"/>
        </w:rPr>
        <w:t xml:space="preserve">风险等级：</w:t>
      </w:r>
      <w:r>
        <w:t xml:space="preserve">P1</w:t>
      </w:r>
    </w:p>
    <w:p>
      <w:r>
        <w:t xml:space="preserve"/>
      </w:r>
    </w:p>
    <w:p>
      <w:r>
        <w:rPr>
          <w:b/>
          <w:color w:val="1F4D78"/>
        </w:rPr>
        <w:t xml:space="preserve">影响范围：</w:t>
      </w:r>
      <w:r>
        <w:t xml:space="preserve">VIN尾号8123-8125，并核查上一次合格校验后的车辆</w:t>
      </w:r>
    </w:p>
    <w:p>
      <w:r>
        <w:t xml:space="preserve"/>
      </w:r>
    </w:p>
    <w:p>
      <w:r>
        <w:rPr>
          <w:b/>
          <w:color w:val="1F4D78"/>
        </w:rPr>
        <w:t xml:space="preserve">根因假设：</w:t>
      </w:r>
      <w:r>
        <w:t xml:space="preserve">套筒磨损叠加设备校准漂移</w:t>
      </w:r>
    </w:p>
    <w:p>
      <w:r>
        <w:t xml:space="preserve"/>
      </w:r>
    </w:p>
    <w:p>
      <w:r>
        <w:rPr>
          <w:b/>
          <w:color w:val="1F4D78"/>
        </w:rPr>
        <w:t xml:space="preserve">处置决策：</w:t>
      </w:r>
      <w:r>
        <w:t xml:space="preserve">暂停该点位自动放行，隔离影响车辆，完成复检、设备处理和首件确认后恢复</w:t>
      </w:r>
    </w:p>
    <w:p>
      <w:r>
        <w:t xml:space="preserve"/>
      </w:r>
    </w:p>
    <w:p>
      <w:r>
        <w:rPr>
          <w:b/>
          <w:color w:val="1F4D78"/>
        </w:rPr>
        <w:t xml:space="preserve">证据链：</w:t>
      </w:r>
      <w:r>
        <w:t xml:space="preserve">工艺窗口越界、同设备连续复现、角度补偿同步波动、历史案例C-009、FMEA条目、复检规范</w:t>
      </w:r>
    </w:p>
    <w:p>
      <w:r>
        <w:t xml:space="preserve"/>
      </w:r>
    </w:p>
    <w:p>
      <w:r>
        <w:rPr>
          <w:b/>
          <w:color w:val="1F4D78"/>
        </w:rPr>
        <w:t xml:space="preserve">飞书任务：</w:t>
      </w:r>
      <w:r>
        <w:t xml:space="preserve">车辆隔离复检、TQ-17校准、套筒检查更换、备用设备首件确认、FMEA控制计划回写</w:t>
      </w:r>
    </w:p>
    <w:p>
      <w:r>
        <w:t xml:space="preserve"/>
      </w:r>
    </w:p>
    <w:p>
      <w:pPr>
        <w:pStyle w:val="Heading1"/>
        <w:keepNext/>
      </w:pPr>
      <w:r>
        <w:t xml:space="preserve">四、案例价值</w:t>
      </w:r>
    </w:p>
    <w:p>
      <w:r>
        <w:t xml:space="preserve"/>
      </w:r>
    </w:p>
    <w:p>
      <w:pPr>
        <w:pStyle w:val="BodyText"/>
      </w:pPr>
      <w:r>
        <w:t xml:space="preserve">该案例体现数字员工与传统报警系统的差异。传统系统只能提示扭矩异常，知质·灵巡则能说明异常为什么严重、影响哪些车辆、证据来自哪里、谁需要处理、什么时候关闭、关闭后如何沉淀。它把质量管理从事后追溯推进到过程拦截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eastAsia="Microsoft YaHei" w:hAnsi="Calibri"/>
      <w:sz w:val="22"/>
      <w:szCs w:val="22"/>
      <w:color w:val="172033"/>
    </w:rPr>
  </w:style>
  <w:style w:type="paragraph" w:styleId="Title">
    <w:name w:val="Title"/>
    <w:pPr>
      <w:spacing w:before="0" w:after="160"/>
    </w:pPr>
    <w:rPr>
      <w:rFonts w:ascii="Calibri" w:eastAsia="Microsoft YaHei" w:hAnsi="Calibri"/>
      <w:b/>
      <w:sz w:val="36"/>
      <w:szCs w:val="36"/>
      <w:color w:val="0B2545"/>
    </w:rPr>
  </w:style>
  <w:style w:type="paragraph" w:styleId="Subtitle">
    <w:name w:val="Subtitle"/>
    <w:pPr>
      <w:spacing w:after="240"/>
    </w:pPr>
    <w:rPr>
      <w:rFonts w:ascii="Calibri" w:eastAsia="Microsoft YaHei" w:hAnsi="Calibri"/>
      <w:sz w:val="22"/>
      <w:szCs w:val="22"/>
      <w:color w:val="657086"/>
    </w:rPr>
  </w:style>
  <w:style w:type="paragraph" w:styleId="Heading1">
    <w:name w:val="heading 1"/>
    <w:pPr>
      <w:keepNext/>
      <w:spacing w:before="320" w:after="160"/>
    </w:pPr>
    <w:rPr>
      <w:rFonts w:ascii="Calibri" w:eastAsia="Microsoft YaHei" w:hAnsi="Calibri"/>
      <w:b/>
      <w:sz w:val="32"/>
      <w:szCs w:val="32"/>
      <w:color w:val="2E74B5"/>
    </w:rPr>
  </w:style>
  <w:style w:type="paragraph" w:styleId="Heading2">
    <w:name w:val="heading 2"/>
    <w:pPr>
      <w:keepNext/>
      <w:spacing w:before="240" w:after="120"/>
    </w:pPr>
    <w:rPr>
      <w:rFonts w:ascii="Calibri" w:eastAsia="Microsoft YaHei" w:hAnsi="Calibri"/>
      <w:b/>
      <w:sz w:val="26"/>
      <w:szCs w:val="26"/>
      <w:color w:val="2E74B5"/>
    </w:rPr>
  </w:style>
  <w:style w:type="paragraph" w:styleId="BodyText">
    <w:name w:val="Body Text"/>
    <w:basedOn w:val="Normal"/>
    <w:pPr>
      <w:spacing w:after="120" w:line="264" w:lineRule="auto"/>
    </w:pPr>
  </w:style>
  <w:style w:type="paragraph" w:styleId="ListParagraph">
    <w:name w:val="List Paragraph"/>
    <w:basedOn w:val="Normal"/>
    <w:pPr>
      <w:ind w:left="720"/>
      <w:spacing w:after="120" w:line="280" w:lineRule="auto"/>
    </w:pPr>
  </w:style>
  <w:style w:type="paragraph" w:styleId="SmallSpace">
    <w:name w:val="Small Space"/>
    <w:pPr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