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 w:eastAsia="Microsoft YaHei"/>
          <w:b/>
          <w:color w:val="0D1F30"/>
          <w:sz w:val="42"/>
        </w:rPr>
        <w:t>整体解决方案书</w:t>
      </w:r>
    </w:p>
    <w:p>
      <w:pPr>
        <w:spacing w:after="300"/>
        <w:jc w:val="center"/>
      </w:pPr>
      <w:r>
        <w:rPr>
          <w:rFonts w:ascii="Calibri" w:hAnsi="Calibri" w:eastAsia="Microsoft YaHei"/>
          <w:color w:val="5A6976"/>
          <w:sz w:val="21"/>
        </w:rPr>
        <w:t>氨智领航调控师：面向云图合成氨装置的软件层成本优化平台</w:t>
      </w:r>
    </w:p>
    <w:p>
      <w:pPr>
        <w:pStyle w:val="Heading1"/>
      </w:pPr>
      <w:r>
        <w:t>1. 方案定位</w:t>
      </w:r>
    </w:p>
    <w:p>
      <w:r>
        <w:rPr>
          <w:rFonts w:ascii="Calibri" w:hAnsi="Calibri" w:eastAsia="Microsoft YaHei"/>
        </w:rPr>
        <w:t>平台不是替代DCS/SIS/APC的控制系统，而是位于生产运行管理层的智能调度副驾驶。它把实时工况、订单、库存、设备健康、能源窗口和专家规则组织成班次级决策，帮助调度员在安全边界内找到吨氨综合成本更优的执行方案。</w:t>
      </w:r>
    </w:p>
    <w:p>
      <w:pPr>
        <w:pStyle w:val="Heading1"/>
      </w:pPr>
      <w:r>
        <w:t>2. 总体架构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55"/>
        <w:gridCol w:w="3255"/>
        <w:gridCol w:w="3255"/>
      </w:tblGrid>
      <w:tr>
        <w:tc>
          <w:tcPr>
            <w:tcW w:type="dxa" w:w="158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层级</w:t>
            </w:r>
          </w:p>
        </w:tc>
        <w:tc>
          <w:tcPr>
            <w:tcW w:type="dxa" w:w="3384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核心对象</w:t>
            </w:r>
          </w:p>
        </w:tc>
        <w:tc>
          <w:tcPr>
            <w:tcW w:type="dxa" w:w="439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交付内容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数据底座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MES、ERP、DCS historian、罐区、EAM点检、飞书记录</w:t>
            </w:r>
          </w:p>
        </w:tc>
        <w:tc>
          <w:tcPr>
            <w:tcW w:type="dxa" w:w="43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班次事实表、口径字典、数据质量评分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可信模型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机理约束、PINN反应器校准、设备健康预测、库存/订单预测</w:t>
            </w:r>
          </w:p>
        </w:tc>
        <w:tc>
          <w:tcPr>
            <w:tcW w:type="dxa" w:w="43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模型版本、置信度、漂移监控、回放验证报告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优化调度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RTO经济目标、APC/MPC连续负荷建议、启发式现场规则</w:t>
            </w:r>
          </w:p>
        </w:tc>
        <w:tc>
          <w:tcPr>
            <w:tcW w:type="dxa" w:w="43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稳氨/保供/护机三案、风险解释、回滚条件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协同执行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飞书卡片、审批、多维表格、交接摘要</w:t>
            </w:r>
          </w:p>
        </w:tc>
        <w:tc>
          <w:tcPr>
            <w:tcW w:type="dxa" w:w="43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确认人、审批人、执行时间、采纳/驳回原因</w:t>
            </w:r>
          </w:p>
        </w:tc>
      </w:tr>
      <w:tr>
        <w:tc>
          <w:tcPr>
            <w:tcW w:type="dxa" w:w="15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知识迭代</w:t>
            </w:r>
          </w:p>
        </w:tc>
        <w:tc>
          <w:tcPr>
            <w:tcW w:type="dxa" w:w="3384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合成负荷指令库、异常经验库、未采纳原因库</w:t>
            </w:r>
          </w:p>
        </w:tc>
        <w:tc>
          <w:tcPr>
            <w:tcW w:type="dxa" w:w="439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周度规则修订、模型校准样本、经验复用清单</w:t>
            </w:r>
          </w:p>
        </w:tc>
      </w:tr>
    </w:tbl>
    <w:p>
      <w:pPr>
        <w:pStyle w:val="Heading1"/>
      </w:pPr>
      <w:r>
        <w:t>3. 与APC/RTO体系的接口关系</w:t>
      </w:r>
    </w:p>
    <w:p>
      <w:pPr>
        <w:pStyle w:val="ListBullet"/>
      </w:pPr>
      <w:r>
        <w:rPr>
          <w:rFonts w:ascii="Calibri" w:hAnsi="Calibri" w:eastAsia="Microsoft YaHei"/>
        </w:rPr>
        <w:t>APC侧：平台不覆盖底层控制回路，只读取关键受控变量和约束余量，输出班次级目标负荷、升降负荷速率建议和需保持的边界条件。</w:t>
      </w:r>
    </w:p>
    <w:p>
      <w:pPr>
        <w:pStyle w:val="ListBullet"/>
      </w:pPr>
      <w:r>
        <w:rPr>
          <w:rFonts w:ascii="Calibri" w:hAnsi="Calibri" w:eastAsia="Microsoft YaHei"/>
        </w:rPr>
        <w:t>RTO侧：平台把天然气/煤气化、蒸汽、电力、液氨库存占用、订单延期和外售机会成本转化为经济目标，供实时优化或离线回放使用。</w:t>
      </w:r>
    </w:p>
    <w:p>
      <w:pPr>
        <w:pStyle w:val="ListBullet"/>
      </w:pPr>
      <w:r>
        <w:rPr>
          <w:rFonts w:ascii="Calibri" w:hAnsi="Calibri" w:eastAsia="Microsoft YaHei"/>
        </w:rPr>
        <w:t>PINN/机理侧：以合成塔热平衡、反应器温升、氢氮比、循环气量、压缩机效率作为模型约束，避免纯数据模型给出现场不可执行的方案。</w:t>
      </w:r>
    </w:p>
    <w:p>
      <w:pPr>
        <w:pStyle w:val="ListBullet"/>
      </w:pPr>
      <w:r>
        <w:rPr>
          <w:rFonts w:ascii="Calibri" w:hAnsi="Calibri" w:eastAsia="Microsoft YaHei"/>
        </w:rPr>
        <w:t>MES侧：审批通过后只写入计划、交接摘要和复盘记录，不直接写入DCS/SIS控制参数。</w:t>
      </w:r>
    </w:p>
    <w:p>
      <w:pPr>
        <w:pStyle w:val="Heading1"/>
      </w:pPr>
      <w:r>
        <w:t>4. 典型场景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1"/>
        <w:gridCol w:w="2441"/>
        <w:gridCol w:w="2441"/>
        <w:gridCol w:w="2441"/>
      </w:tblGrid>
      <w:tr>
        <w:tc>
          <w:tcPr>
            <w:tcW w:type="dxa" w:w="144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场景</w:t>
            </w:r>
          </w:p>
        </w:tc>
        <w:tc>
          <w:tcPr>
            <w:tcW w:type="dxa" w:w="288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触发条件</w:t>
            </w:r>
          </w:p>
        </w:tc>
        <w:tc>
          <w:tcPr>
            <w:tcW w:type="dxa" w:w="352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推荐动作</w:t>
            </w:r>
          </w:p>
        </w:tc>
        <w:tc>
          <w:tcPr>
            <w:tcW w:type="dxa" w:w="2088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企业收益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订单冲刺</w:t>
            </w:r>
          </w:p>
        </w:tc>
        <w:tc>
          <w:tcPr>
            <w:tcW w:type="dxa" w:w="2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尿素溶液/复合肥用氨急单、液氨库存偏低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提高合成回路负荷，压缩弹性外售，优先保障高优订单。</w:t>
            </w:r>
          </w:p>
        </w:tc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减少延期与跨单元等待。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能源错峰</w:t>
            </w:r>
          </w:p>
        </w:tc>
        <w:tc>
          <w:tcPr>
            <w:tcW w:type="dxa" w:w="2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蒸汽/电力/原料窗口价格上行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高价窗口压产，低价窗口补库存，保持安全库存。</w:t>
            </w:r>
          </w:p>
        </w:tc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降低吨氨边际能耗成本。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设备护机</w:t>
            </w:r>
          </w:p>
        </w:tc>
        <w:tc>
          <w:tcPr>
            <w:tcW w:type="dxa" w:w="2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循环压缩机健康评分下降或合成塔温升异常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降低负荷上限，插入点检窗口，冻结激进方案。</w:t>
            </w:r>
          </w:p>
        </w:tc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降低非计划停车风险。</w:t>
            </w:r>
          </w:p>
        </w:tc>
      </w:tr>
      <w:tr>
        <w:tc>
          <w:tcPr>
            <w:tcW w:type="dxa" w:w="144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低置信降级</w:t>
            </w:r>
          </w:p>
        </w:tc>
        <w:tc>
          <w:tcPr>
            <w:tcW w:type="dxa" w:w="28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关键点位延迟、订单口径不一致、模型漂移超阈值</w:t>
            </w:r>
          </w:p>
        </w:tc>
        <w:tc>
          <w:tcPr>
            <w:tcW w:type="dxa" w:w="352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只给规则提醒，不回写计划，进入人工确认。</w:t>
            </w:r>
          </w:p>
        </w:tc>
        <w:tc>
          <w:tcPr>
            <w:tcW w:type="dxa" w:w="2088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保证系统可信边界。</w:t>
            </w:r>
          </w:p>
        </w:tc>
      </w:tr>
    </w:tbl>
    <w:p>
      <w:pPr>
        <w:pStyle w:val="Heading1"/>
      </w:pPr>
      <w:r>
        <w:t>5. 30/60/90天落地路径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41"/>
        <w:gridCol w:w="2441"/>
        <w:gridCol w:w="2441"/>
        <w:gridCol w:w="2441"/>
      </w:tblGrid>
      <w:tr>
        <w:tc>
          <w:tcPr>
            <w:tcW w:type="dxa" w:w="1080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阶段</w:t>
            </w:r>
          </w:p>
        </w:tc>
        <w:tc>
          <w:tcPr>
            <w:tcW w:type="dxa" w:w="237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目标</w:t>
            </w:r>
          </w:p>
        </w:tc>
        <w:tc>
          <w:tcPr>
            <w:tcW w:type="dxa" w:w="3096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交付物</w:t>
            </w:r>
          </w:p>
        </w:tc>
        <w:tc>
          <w:tcPr>
            <w:tcW w:type="dxa" w:w="2952"/>
            <w:shd w:fill="EAF2F8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b/>
              </w:rPr>
              <w:t>验收口径</w:t>
            </w:r>
          </w:p>
        </w:tc>
      </w:tr>
      <w:tr>
        <w:tc>
          <w:tcPr>
            <w:tcW w:type="dxa" w:w="10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30天</w:t>
            </w:r>
          </w:p>
        </w:tc>
        <w:tc>
          <w:tcPr>
            <w:tcW w:type="dxa" w:w="237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统一数据口径和班次事实表</w:t>
            </w:r>
          </w:p>
        </w:tc>
        <w:tc>
          <w:tcPr>
            <w:tcW w:type="dxa" w:w="30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接口清单、字段字典、数据质量报告、飞书协同草案</w:t>
            </w:r>
          </w:p>
        </w:tc>
        <w:tc>
          <w:tcPr>
            <w:tcW w:type="dxa" w:w="29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关键字段完整、调度员能核对口径。</w:t>
            </w:r>
          </w:p>
        </w:tc>
      </w:tr>
      <w:tr>
        <w:tc>
          <w:tcPr>
            <w:tcW w:type="dxa" w:w="10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60天</w:t>
            </w:r>
          </w:p>
        </w:tc>
        <w:tc>
          <w:tcPr>
            <w:tcW w:type="dxa" w:w="237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影子运行对比人工调度</w:t>
            </w:r>
          </w:p>
        </w:tc>
        <w:tc>
          <w:tcPr>
            <w:tcW w:type="dxa" w:w="30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每班三案、采纳/未采纳原因、回放报告</w:t>
            </w:r>
          </w:p>
        </w:tc>
        <w:tc>
          <w:tcPr>
            <w:tcW w:type="dxa" w:w="29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覆盖早晚班、急单、库存偏低、设备护机场景。</w:t>
            </w:r>
          </w:p>
        </w:tc>
      </w:tr>
      <w:tr>
        <w:tc>
          <w:tcPr>
            <w:tcW w:type="dxa" w:w="1080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90天</w:t>
            </w:r>
          </w:p>
        </w:tc>
        <w:tc>
          <w:tcPr>
            <w:tcW w:type="dxa" w:w="237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低风险小闭环验收</w:t>
            </w:r>
          </w:p>
        </w:tc>
        <w:tc>
          <w:tcPr>
            <w:tcW w:type="dxa" w:w="3096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审批链、MES计划回写、班后复盘、规则库版本</w:t>
            </w:r>
          </w:p>
        </w:tc>
        <w:tc>
          <w:tcPr>
            <w:tcW w:type="dxa" w:w="2952"/>
            <w:vAlign w:val="center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Calibri" w:hAnsi="Calibri" w:eastAsia="Microsoft YaHei"/>
                <w:sz w:val="18"/>
              </w:rPr>
              <w:t>至少一项收益指标稳定改善或形成明确停用依据。</w:t>
            </w:r>
          </w:p>
        </w:tc>
      </w:tr>
    </w:tbl>
    <w:p>
      <w:pPr>
        <w:pStyle w:val="Heading1"/>
      </w:pPr>
      <w:r>
        <w:t>6. 验收与停用条件</w:t>
      </w:r>
    </w:p>
    <w:p>
      <w:pPr>
        <w:pStyle w:val="ListBullet"/>
      </w:pPr>
      <w:r>
        <w:rPr>
          <w:rFonts w:ascii="Calibri" w:hAnsi="Calibri" w:eastAsia="Microsoft YaHei"/>
        </w:rPr>
        <w:t>通过条件：高优订单满足率不低于人工调度；单位氨能耗、库存占用、调度耗时或异常预警提前量至少一项稳定改善。</w:t>
      </w:r>
    </w:p>
    <w:p>
      <w:pPr>
        <w:pStyle w:val="ListBullet"/>
      </w:pPr>
      <w:r>
        <w:rPr>
          <w:rFonts w:ascii="Calibri" w:hAnsi="Calibri" w:eastAsia="Microsoft YaHei"/>
        </w:rPr>
        <w:t>收益口径：只核算被采纳且实际执行的方案，剔除市场行情自然波动、检修计划、物流异常等外部影响。</w:t>
      </w:r>
    </w:p>
    <w:p>
      <w:pPr>
        <w:pStyle w:val="ListBullet"/>
      </w:pPr>
      <w:r>
        <w:rPr>
          <w:rFonts w:ascii="Calibri" w:hAnsi="Calibri" w:eastAsia="Microsoft YaHei"/>
        </w:rPr>
        <w:t>停用条件：关键数据延迟超过15分钟、核心点位缺失、模型连续两天偏差超阈值、安环红线接近且无法解释。</w:t>
      </w:r>
    </w:p>
    <w:p>
      <w:pPr>
        <w:pStyle w:val="Heading1"/>
      </w:pPr>
      <w:r>
        <w:t>参考文献与资料来源</w:t>
      </w:r>
    </w:p>
    <w:p>
      <w:r>
        <w:rPr>
          <w:rFonts w:ascii="Calibri" w:hAnsi="Calibri" w:eastAsia="Microsoft YaHei"/>
        </w:rPr>
        <w:t>[1] IEA. Ammonia Technology Roadmap. International Energy Agency. https://www.iea.org/reports/ammonia-technology-roadmap</w:t>
      </w:r>
    </w:p>
    <w:p>
      <w:r>
        <w:rPr>
          <w:rFonts w:ascii="Calibri" w:hAnsi="Calibri" w:eastAsia="Microsoft YaHei"/>
        </w:rPr>
        <w:t>[2] 成都云图控股股份有限公司. 2025年年度报告摘要. 巨潮资讯. https://static.cninfo.com.cn/finalpage/2026-04-15/1225100697.PDF</w:t>
      </w:r>
    </w:p>
    <w:p>
      <w:r>
        <w:rPr>
          <w:rFonts w:ascii="Calibri" w:hAnsi="Calibri" w:eastAsia="Microsoft YaHei"/>
        </w:rPr>
        <w:t>[3] 成都云图控股股份有限公司. 关于全资子公司70万吨合成氨项目建成试生产的公告. 巨潮资讯. https://static.cninfo.com.cn/finalpage/2026-03-21/1225020927.PDF</w:t>
      </w:r>
    </w:p>
    <w:p>
      <w:r>
        <w:rPr>
          <w:rFonts w:ascii="Calibri" w:hAnsi="Calibri" w:eastAsia="Microsoft YaHei"/>
        </w:rPr>
        <w:t>[4] 成都云图控股股份有限公司. 投资者关系活动记录表. 巨潮资讯. https://static.cninfo.com.cn/finalpage/2026-04-16/1225109829.PDF</w:t>
      </w:r>
    </w:p>
    <w:p>
      <w:r>
        <w:rPr>
          <w:rFonts w:ascii="Calibri" w:hAnsi="Calibri" w:eastAsia="Microsoft YaHei"/>
        </w:rPr>
        <w:t>[5] Kong et al. Nonlinear Model Predictive Control of Flexible Ammonia Production. 2024 preprint. https://qizh.cems.umn.edu/sites/qizh.cems.umn.edu/files/2024-04/Kong_et_al-2024-preprint-NMPC_ammonia_production.pdf</w:t>
      </w:r>
    </w:p>
    <w:p>
      <w:r>
        <w:rPr>
          <w:rFonts w:ascii="Calibri" w:hAnsi="Calibri" w:eastAsia="Microsoft YaHei"/>
        </w:rPr>
        <w:t>[6] Dynamic Simulation and Optimization for Load Regulation of the Haber-Bosch Process. Industrial &amp; Engineering Chemistry Research. https://pubs.acs.org/doi/10.1021/acs.iecr.4c02410</w:t>
      </w:r>
    </w:p>
    <w:p>
      <w:r>
        <w:rPr>
          <w:rFonts w:ascii="Calibri" w:hAnsi="Calibri" w:eastAsia="Microsoft YaHei"/>
        </w:rPr>
        <w:t>[7] AQ/T 3017-2008. 合成氨生产企业安全标准化实施指南. 应急管理部. https://www.mem.gov.cn/fw/flfgbz/bz/bzwb/201301/P020190327398204066876.pdf</w:t>
      </w:r>
    </w:p>
    <w:p>
      <w:r>
        <w:rPr>
          <w:rFonts w:ascii="Calibri" w:hAnsi="Calibri" w:eastAsia="Microsoft YaHei"/>
        </w:rPr>
        <w:t>[8] 国家发展改革委. 合成氨行业节能降碳改造升级实施指南解读. https://www.ndrc.gov.cn/xwdt/ztzl/ghnhyjnjdgzsj/zjgd/202208/t20220829_1334056.html</w:t>
      </w:r>
    </w:p>
    <w:p>
      <w:r>
        <w:rPr>
          <w:rFonts w:ascii="Calibri" w:hAnsi="Calibri" w:eastAsia="Microsoft YaHei"/>
        </w:rPr>
        <w:t>[9] 应急管理部办公厅. 工业互联网+危化安全生产试点建设方案. https://www.mem.gov.cn/gk/zfxxgkpt/fdzdgknr/202104/t20210407_382882.shtml</w:t>
      </w:r>
    </w:p>
    <w:p>
      <w:r>
        <w:rPr>
          <w:rFonts w:ascii="Calibri" w:hAnsi="Calibri" w:eastAsia="Microsoft YaHei"/>
        </w:rPr>
        <w:t>[10] 飞书开放平台. 消息、审批、多维表格与事件订阅相关OpenAPI文档. https://open.feishu.cn/document/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238" w:bottom="1123" w:left="1238" w:header="547" w:footer="54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color w:val="5A6976"/>
        <w:sz w:val="17"/>
      </w:rPr>
      <w:t>氨智领航调控师 | 合成氨生产调度专家平台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3" w:lineRule="auto" w:after="100"/>
    </w:pPr>
    <w:rPr>
      <w:rFonts w:ascii="Calibri" w:hAnsi="Calibr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84E7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