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方案创新与落地清单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从入围方案到决赛试点包的升级</w:t>
      </w:r>
    </w:p>
    <w:p>
      <w:pPr>
        <w:pStyle w:val="Heading1"/>
      </w:pPr>
      <w:r>
        <w:t>1. 入围优势沉淀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优势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已经形成的基础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决赛版强化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结构化程度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三大挑战、三案、30/60/90天路径清晰。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新增APC/RTO接口、PINN可信模型、飞书协同与验收数据表。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落地路径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影子运行、小闭环、班次复盘明确。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补齐字段字典、审批链、停用条件和收益归因方法。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代码开放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已有GitHub平台原型和文档材料。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补充可交互调控台、飞书卡片预览、知识库表结构和试点交付清单。</w:t>
            </w:r>
          </w:p>
        </w:tc>
      </w:tr>
    </w:tbl>
    <w:p>
      <w:pPr>
        <w:pStyle w:val="Heading1"/>
      </w:pPr>
      <w:r>
        <w:t>2. 决赛创新点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创新点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可验证方式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机理+PINN可信孪生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把反应器温升、氢氮比、循环气量和压缩机效率纳入约束，减少外行化建议。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离线回放对比模型偏差和约束触发记录。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APC/RTO对接层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不重做控制系统，能与现有APC/RTO体系低风险对话。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接口清单、变量映射、写回边界和审批记录。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飞书班组闭环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让建议进入真实通知、审批、复盘和责任留痕。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卡片、审批、多维表格、Aily问答四类样例。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未采纳原因学习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把专家否决和现场经验沉淀为知识资产。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每周输出规则修订和模型校准样本。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反事实收益归因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避免把行情波动误算为系统收益。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保留原计划、推荐方案、采纳结果和实际执行差异。</w:t>
            </w:r>
          </w:p>
        </w:tc>
      </w:tr>
    </w:tbl>
    <w:p>
      <w:pPr>
        <w:pStyle w:val="Heading1"/>
      </w:pPr>
      <w:r>
        <w:t>3. 首批上线清单</w:t>
      </w:r>
    </w:p>
    <w:p>
      <w:pPr>
        <w:pStyle w:val="ListBullet"/>
      </w:pPr>
      <w:r>
        <w:rPr>
          <w:rFonts w:ascii="Calibri" w:hAnsi="Calibri" w:eastAsia="Microsoft YaHei"/>
        </w:rPr>
        <w:t>数据：班次事实表、接口字段字典、数据质量评分、异常点位清单。</w:t>
      </w:r>
    </w:p>
    <w:p>
      <w:pPr>
        <w:pStyle w:val="ListBullet"/>
      </w:pPr>
      <w:r>
        <w:rPr>
          <w:rFonts w:ascii="Calibri" w:hAnsi="Calibri" w:eastAsia="Microsoft YaHei"/>
        </w:rPr>
        <w:t>模型：稳氨/保供/护机三案、可信度、漂移监控、回放验证报告。</w:t>
      </w:r>
    </w:p>
    <w:p>
      <w:pPr>
        <w:pStyle w:val="ListBullet"/>
      </w:pPr>
      <w:r>
        <w:rPr>
          <w:rFonts w:ascii="Calibri" w:hAnsi="Calibri" w:eastAsia="Microsoft YaHei"/>
        </w:rPr>
        <w:t>协同：飞书互动卡片、负荷调整审批、多维表格复盘、Aily问答入口。</w:t>
      </w:r>
    </w:p>
    <w:p>
      <w:pPr>
        <w:pStyle w:val="ListBullet"/>
      </w:pPr>
      <w:r>
        <w:rPr>
          <w:rFonts w:ascii="Calibri" w:hAnsi="Calibri" w:eastAsia="Microsoft YaHei"/>
        </w:rPr>
        <w:t>治理：DCS/SIS隔离、人工确认、停用条件、收益归因和周度复盘机制。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