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rFonts w:ascii="Calibri" w:hAnsi="Calibri" w:eastAsia="Microsoft YaHei"/>
          <w:b/>
          <w:color w:val="000000"/>
          <w:sz w:val="44"/>
        </w:rPr>
        <w:t>开题报告</w:t>
      </w:r>
    </w:p>
    <w:p>
      <w:pPr>
        <w:spacing w:after="320"/>
        <w:jc w:val="center"/>
      </w:pPr>
      <w:r>
        <w:rPr>
          <w:rFonts w:ascii="Calibri" w:hAnsi="Calibri" w:eastAsia="Microsoft YaHei"/>
          <w:color w:val="505050"/>
          <w:sz w:val="22"/>
        </w:rPr>
        <w:t>命题：如何用 AI 打造合成氨生产调度专家</w:t>
      </w:r>
    </w:p>
    <w:p>
      <w:pPr>
        <w:pStyle w:val="Heading1"/>
      </w:pPr>
      <w:r>
        <w:t>可直接提交正文</w:t>
      </w:r>
    </w:p>
    <w:p>
      <w:pPr>
        <w:pStyle w:val="Heading2"/>
      </w:pPr>
      <w:r>
        <w:t>Part 1：命题前置分析与洞察（约 230 字）</w:t>
      </w:r>
    </w:p>
    <w:p>
      <w:r>
        <w:rPr>
          <w:rFonts w:ascii="Calibri" w:hAnsi="Calibri" w:eastAsia="Microsoft YaHei"/>
        </w:rPr>
        <w:t>补充要求说明，云图合成氨装置在硬件层面的单位成本已接近理论最优，下一轮降本空间来自合成氨运行管理的软件层。命题真正考察的是能否打造“合成氨超级数字员工”：围绕氨合成负荷、氢氮比、合成塔床层温升、循环压缩机、液氨库存和下游用氨，实时挖掘成本偏差，缩短调度指挥链条，沉淀专家知识并自我迭代。云图控股应城 70 万吨合成氨项目补齐氮肥原料，与尿浆、复合肥、联碱和液氨外售形成协同链路[3][4][5]。因此，AI 调度专家不应只是聊天机器人或看板，而应在不触碰 DCS/SIS 安全控制底线的前提下，融合 MES、ERP、DCS historian、罐区和设备点检数据，形成“寻优-指挥-监督-学习”闭环。</w:t>
      </w:r>
    </w:p>
    <w:p>
      <w:pPr>
        <w:pStyle w:val="Heading2"/>
      </w:pPr>
      <w:r>
        <w:t>Part 2：整体解决方案设计（约 560 字）</w:t>
      </w:r>
    </w:p>
    <w:p>
      <w:r>
        <w:rPr>
          <w:rFonts w:ascii="Calibri" w:hAnsi="Calibri" w:eastAsia="Microsoft YaHei"/>
        </w:rPr>
        <w:t>方案命名为“合成氨 AI 调控师工作台”。第一阶段不自动控制装置，而是做影子运行、班前会辅助和班后复盘。平台先接入 MES 日计划、ERP 订单与交期、液氨罐区库存、DCS 关键摘要点、设备健康评分和原料/蒸汽电价窗口，形成班次事实表。预测层滚动预测下游用氨、液氨库存消耗、吨氨能源成本和设备风险；约束层用机理边界和专家规则校验氢氮比、合成塔床层温升、循环压缩机负荷、罐区压力、安全库存、负荷升降速率和环保指标；寻优层设置吨氨成本雷达，拆解原料/蒸汽、液氨库存、压缩机效率、合成塔窗口和负荷偏差五类可挖潜因子；优化层生成稳氨、保供、护机三套方案，分别说明合成负荷、下游消纳、库存策略、点检窗口和收益风险；指挥层一键生成交接摘要和调度指令，执行监督层自动跟踪合成负荷偏差、氢氮比偏差、液氨库存变化和订单完成。</w:t>
      </w:r>
    </w:p>
    <w:p>
      <w:r>
        <w:rPr>
          <w:rFonts w:ascii="Calibri" w:hAnsi="Calibri" w:eastAsia="Microsoft YaHei"/>
        </w:rPr>
        <w:t>每次方案会沉淀为合成氨知识库：输入状态、推荐合成负荷、氢氮比/床层温升约束、审批人、采纳/未采纳原因、实际执行偏差和效果归因。落地路线采用 30/60/90 天试点：30 天跑通数据事实表和口径确认，60 天进入影子模式记录采纳/不采纳原因，90 天做小闭环复盘并决定是否扩大范围。验收采用保守口径：高优下游用氨满足率不低于人工排产，且吨氨能耗、液氨库存占用、调度耗时或异常预警至少一项稳定改善；若关键数据延迟超过 15 分钟、模型连续两天偏差超阈值或安环红线接近且无法解释，系统自动降级为人工调度。该方案的创新点不是“让 AI 接管生产”，而是把合成氨连续流程装置的现场经验、优化模型和企业经营目标整合成可审计、可复盘、可逐步自我升级的数字员工。</w:t>
      </w:r>
    </w:p>
    <w:p>
      <w:pPr>
        <w:pStyle w:val="Heading1"/>
      </w:pPr>
      <w:r>
        <w:t>三大挑战与回答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17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rFonts w:ascii="Calibri" w:hAnsi="Calibri" w:eastAsia="Microsoft YaHei"/>
                <w:b/>
              </w:rPr>
              <w:t>试题挑战</w:t>
            </w:r>
          </w:p>
        </w:tc>
        <w:tc>
          <w:tcPr>
            <w:tcW w:type="dxa" w:w="37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rFonts w:ascii="Calibri" w:hAnsi="Calibri" w:eastAsia="Microsoft YaHei"/>
                <w:b/>
              </w:rPr>
              <w:t>方案回答</w:t>
            </w:r>
          </w:p>
        </w:tc>
        <w:tc>
          <w:tcPr>
            <w:tcW w:type="dxa" w:w="38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rFonts w:ascii="Calibri" w:hAnsi="Calibri" w:eastAsia="Microsoft YaHei"/>
                <w:b/>
              </w:rPr>
              <w:t>企业可见成果</w:t>
            </w:r>
          </w:p>
        </w:tc>
      </w:tr>
      <w:tr>
        <w:tc>
          <w:tcPr>
            <w:tcW w:type="dxa" w:w="17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调度寻优难</w:t>
            </w:r>
          </w:p>
        </w:tc>
        <w:tc>
          <w:tcPr>
            <w:tcW w:type="dxa" w:w="37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吨氨成本雷达 + 稳氨/保供/护机三案 + 合成回路约束孪生</w:t>
            </w:r>
          </w:p>
        </w:tc>
        <w:tc>
          <w:tcPr>
            <w:tcW w:type="dxa" w:w="38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看到每次降本来自原料/蒸汽、液氨库存、压缩机、合成塔还是负荷偏差</w:t>
            </w:r>
          </w:p>
        </w:tc>
      </w:tr>
      <w:tr>
        <w:tc>
          <w:tcPr>
            <w:tcW w:type="dxa" w:w="17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指挥效率低</w:t>
            </w:r>
          </w:p>
        </w:tc>
        <w:tc>
          <w:tcPr>
            <w:tcW w:type="dxa" w:w="37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合成氨调控师指令窗口 + 交接摘要 + 执行监督</w:t>
            </w:r>
          </w:p>
        </w:tc>
        <w:tc>
          <w:tcPr>
            <w:tcW w:type="dxa" w:w="38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缩短班前会准备和合成负荷调整确认时间</w:t>
            </w:r>
          </w:p>
        </w:tc>
      </w:tr>
      <w:tr>
        <w:tc>
          <w:tcPr>
            <w:tcW w:type="dxa" w:w="17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知识传承难</w:t>
            </w:r>
          </w:p>
        </w:tc>
        <w:tc>
          <w:tcPr>
            <w:tcW w:type="dxa" w:w="37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合成负荷指令库 + 氢氮比/床层温升异常库 + 未采纳标签</w:t>
            </w:r>
          </w:p>
        </w:tc>
        <w:tc>
          <w:tcPr>
            <w:tcW w:type="dxa" w:w="38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把专家经验变成可检索、可复盘、可迭代的合成氨知识资产</w:t>
            </w:r>
          </w:p>
        </w:tc>
      </w:tr>
    </w:tbl>
    <w:p>
      <w:pPr>
        <w:pStyle w:val="Heading1"/>
      </w:pPr>
      <w:r>
        <w:t>出题意图判断</w:t>
      </w:r>
    </w:p>
    <w:p>
      <w:pPr>
        <w:pStyle w:val="ListBullet"/>
      </w:pPr>
      <w:r>
        <w:rPr>
          <w:rFonts w:ascii="Calibri" w:hAnsi="Calibri" w:eastAsia="Microsoft YaHei"/>
        </w:rPr>
        <w:t>业务洞察：能否理解云图控股合成氨项目与复合肥、尿浆、联碱产业链的协同关系。</w:t>
      </w:r>
    </w:p>
    <w:p>
      <w:pPr>
        <w:pStyle w:val="ListBullet"/>
      </w:pPr>
      <w:r>
        <w:rPr>
          <w:rFonts w:ascii="Calibri" w:hAnsi="Calibri" w:eastAsia="Microsoft YaHei"/>
        </w:rPr>
        <w:t>工业现场理解：能否意识到合成氨高温高压、连续流程、安全边界和设备健康的重要性。</w:t>
      </w:r>
    </w:p>
    <w:p>
      <w:pPr>
        <w:pStyle w:val="ListBullet"/>
      </w:pPr>
      <w:r>
        <w:rPr>
          <w:rFonts w:ascii="Calibri" w:hAnsi="Calibri" w:eastAsia="Microsoft YaHei"/>
        </w:rPr>
        <w:t>AI 工程理解：能否把预测、优化、数字孪生、知识库和人机确认组合起来，而不是泛泛讲大模型。</w:t>
      </w:r>
    </w:p>
    <w:p>
      <w:pPr>
        <w:pStyle w:val="ListBullet"/>
      </w:pPr>
      <w:r>
        <w:rPr>
          <w:rFonts w:ascii="Calibri" w:hAnsi="Calibri" w:eastAsia="Microsoft YaHei"/>
        </w:rPr>
        <w:t>落地能力：能否提出接口、岗位、验收、降级和收益核算，而不是只有概念架构。</w:t>
      </w:r>
    </w:p>
    <w:p>
      <w:pPr>
        <w:pStyle w:val="Heading1"/>
      </w:pPr>
      <w:r>
        <w:t>参考文献与资料来源</w:t>
      </w:r>
    </w:p>
    <w:p>
      <w:r>
        <w:rPr>
          <w:rFonts w:ascii="Calibri" w:hAnsi="Calibri" w:eastAsia="Microsoft YaHei"/>
        </w:rPr>
        <w:t>[1] IEA. Ammonia Technology Roadmap. https://www.iea.org/reports/ammonia-technology-roadmap</w:t>
      </w:r>
    </w:p>
    <w:p>
      <w:r>
        <w:rPr>
          <w:rFonts w:ascii="Calibri" w:hAnsi="Calibri" w:eastAsia="Microsoft YaHei"/>
        </w:rPr>
        <w:t>[2] IEA. Ammonia Technology Roadmap: Executive Summary. https://www.iea.org/reports/ammonia-technology-roadmap/executive-summary</w:t>
      </w:r>
    </w:p>
    <w:p>
      <w:r>
        <w:rPr>
          <w:rFonts w:ascii="Calibri" w:hAnsi="Calibri" w:eastAsia="Microsoft YaHei"/>
        </w:rPr>
        <w:t>[3] 成都云图控股股份有限公司. 2025 年年度报告摘要. 巨潮资讯. https://static.cninfo.com.cn/finalpage/2026-04-15/1225100697.PDF</w:t>
      </w:r>
    </w:p>
    <w:p>
      <w:r>
        <w:rPr>
          <w:rFonts w:ascii="Calibri" w:hAnsi="Calibri" w:eastAsia="Microsoft YaHei"/>
        </w:rPr>
        <w:t>[4] 成都云图控股股份有限公司. 投资者关系活动记录表. 巨潮资讯. https://static.cninfo.com.cn/finalpage/2026-04-16/1225109829.PDF</w:t>
      </w:r>
    </w:p>
    <w:p>
      <w:r>
        <w:rPr>
          <w:rFonts w:ascii="Calibri" w:hAnsi="Calibri" w:eastAsia="Microsoft YaHei"/>
        </w:rPr>
        <w:t>[5] 云图控股研究报告. 合成氨、磷矿等新产能落地或助力公司成长. https://www.wintrueholding.com/static/upload/file/20260417/1776394254161882.pdf</w:t>
      </w:r>
    </w:p>
    <w:p>
      <w:r>
        <w:rPr>
          <w:rFonts w:ascii="Calibri" w:hAnsi="Calibri" w:eastAsia="Microsoft YaHei"/>
        </w:rPr>
        <w:t>[6] Kong et al. Nonlinear Model Predictive Control of Flexible Ammonia Production. 2024 preprint. https://qizh.cems.umn.edu/sites/qizh.cems.umn.edu/files/2024-04/Kong_et_al-2024-preprint-NMPC_ammonia_production.pdf</w:t>
      </w:r>
    </w:p>
    <w:p>
      <w:r>
        <w:rPr>
          <w:rFonts w:ascii="Calibri" w:hAnsi="Calibri" w:eastAsia="Microsoft YaHei"/>
        </w:rPr>
        <w:t>[7] ACS Industrial &amp; Engineering Chemistry Research. Dynamic Simulation and Optimization for Load Regulation of the Haber-Bosch Process. https://pubs.acs.org/doi/10.1021/acs.iecr.4c02410</w:t>
      </w:r>
    </w:p>
    <w:p>
      <w:r>
        <w:rPr>
          <w:rFonts w:ascii="Calibri" w:hAnsi="Calibri" w:eastAsia="Microsoft YaHei"/>
        </w:rPr>
        <w:t>[8] AIChE 2025 Annual Meeting. Scheduling and Control of Green Ammonia Plants. https://aiche.confex.com/aiche/2025/meetingapp.cgi/Paper/710466</w:t>
      </w:r>
    </w:p>
    <w:p>
      <w:r>
        <w:rPr>
          <w:rFonts w:ascii="Calibri" w:hAnsi="Calibri" w:eastAsia="Microsoft YaHei"/>
        </w:rPr>
        <w:t>[9] 中国信息通信研究院、华为等. 工业与AI融合应用指南. https://www-file.huawei.com/dam/asset/view/dda7ee674ced41d4bb989b365ea0a028.pdf</w:t>
      </w:r>
    </w:p>
    <w:p>
      <w:r>
        <w:rPr>
          <w:rFonts w:ascii="Calibri" w:hAnsi="Calibri" w:eastAsia="Microsoft YaHei"/>
        </w:rPr>
        <w:t>[10] HG/T 6346—2025. 石化和化工行业数字化转型成熟度模型与评估相关资料. https://gxt.gansu.gov.cn/gxt/c126826/202511/174237249/files/99bb56ef71d347248ae58125b2e12aee.pdf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224" w:right="1296" w:bottom="1224" w:left="1296" w:header="648" w:footer="64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Microsoft YaHei"/>
        <w:color w:val="787878"/>
        <w:sz w:val="18"/>
      </w:rPr>
      <w:t>仅用于参赛方案与试点论证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 w:eastAsia="Microsoft YaHei"/>
        <w:color w:val="5A5A5A"/>
        <w:sz w:val="18"/>
      </w:rPr>
      <w:t>合成氨 AI 生产调度专家 | 提交材料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/>
    </w:pPr>
    <w:rPr>
      <w:rFonts w:ascii="Calibri" w:hAnsi="Calibr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1F4E7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