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000000"/>
          <w:sz w:val="44"/>
        </w:rPr>
        <w:t>调控师操作手册</w:t>
      </w:r>
    </w:p>
    <w:p>
      <w:pPr>
        <w:spacing w:after="320"/>
        <w:jc w:val="center"/>
      </w:pPr>
      <w:r>
        <w:rPr>
          <w:rFonts w:ascii="Calibri" w:hAnsi="Calibri" w:eastAsia="Microsoft YaHei"/>
          <w:color w:val="505050"/>
          <w:sz w:val="22"/>
        </w:rPr>
        <w:t>合成氨 AI 调控师工作台：班组使用与异常处置</w:t>
      </w:r>
    </w:p>
    <w:p>
      <w:pPr>
        <w:pStyle w:val="Heading1"/>
      </w:pPr>
      <w:r>
        <w:t>1. 调控师角色</w:t>
      </w:r>
    </w:p>
    <w:p>
      <w:r>
        <w:rPr>
          <w:rFonts w:ascii="Calibri" w:hAnsi="Calibri" w:eastAsia="Microsoft YaHei"/>
        </w:rPr>
        <w:t>调控师不是替代班长的自动控制系统，而是帮助当班人员在订单、库存、能耗、设备和安全边界之间快速形成可解释方案的副驾驶。所有高风险动作必须保留人工确认。</w:t>
      </w:r>
    </w:p>
    <w:p>
      <w:pPr>
        <w:pStyle w:val="Heading1"/>
      </w:pPr>
      <w:r>
        <w:t>2. 当班流程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环节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操作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输出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责任人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班前 30 分钟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刷新订单、库存、设备健康、能源窗口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稳态/冲刺/保守三套方案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调度员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班前会 10 分钟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查看差异、红线、需确认动作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交接摘要与确认项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班长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班中偏差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库存、设备、订单超阈值时重算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重算记录，不自动改控制参数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班长/调度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班后 5 分钟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记录采纳与否、实际负荷、能耗、异常原因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复盘样本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班长</w:t>
            </w:r>
          </w:p>
        </w:tc>
      </w:tr>
    </w:tbl>
    <w:p>
      <w:pPr>
        <w:pStyle w:val="Heading1"/>
      </w:pPr>
      <w:r>
        <w:t>3. 典型调控场景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场景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触发条件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推荐动作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不得越界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订单冲刺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下游订单压力高，库存偏低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提高合成负荷，尿浆/复合肥优先，外售降级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不得低于安全库存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设备保守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压缩机或合成塔健康评分下降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降低负荷上限，插入点检窗口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不得为追产突破设备边界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能源错峰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高价能源窗口或蒸汽紧张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高价窗口压产，低价窗口补库存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不得影响刚性交付和安全库存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低置信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数据缺失、模型偏差或市场异常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退回规则建议和人工流程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不得自动回写 MES</w:t>
            </w:r>
          </w:p>
        </w:tc>
      </w:tr>
    </w:tbl>
    <w:p>
      <w:pPr>
        <w:pStyle w:val="Heading1"/>
      </w:pPr>
      <w:r>
        <w:t>4. 交接班摘要模板</w:t>
      </w:r>
    </w:p>
    <w:p>
      <w:pPr>
        <w:pStyle w:val="ListBullet"/>
      </w:pPr>
      <w:r>
        <w:rPr>
          <w:rFonts w:ascii="Calibri" w:hAnsi="Calibri" w:eastAsia="Microsoft YaHei"/>
        </w:rPr>
        <w:t>推荐负荷：__%；推荐模式：稳态/冲刺/保守。</w:t>
      </w:r>
    </w:p>
    <w:p>
      <w:pPr>
        <w:pStyle w:val="ListBullet"/>
      </w:pPr>
      <w:r>
        <w:rPr>
          <w:rFonts w:ascii="Calibri" w:hAnsi="Calibri" w:eastAsia="Microsoft YaHei"/>
        </w:rPr>
        <w:t>优先订单：尿浆/复合肥/液氨外售/联碱配套。</w:t>
      </w:r>
    </w:p>
    <w:p>
      <w:pPr>
        <w:pStyle w:val="ListBullet"/>
      </w:pPr>
      <w:r>
        <w:rPr>
          <w:rFonts w:ascii="Calibri" w:hAnsi="Calibri" w:eastAsia="Microsoft YaHei"/>
        </w:rPr>
        <w:t>关键约束：库存、压缩机、合成塔、罐区、能源窗口、环保指标。</w:t>
      </w:r>
    </w:p>
    <w:p>
      <w:pPr>
        <w:pStyle w:val="ListBullet"/>
      </w:pPr>
      <w:r>
        <w:rPr>
          <w:rFonts w:ascii="Calibri" w:hAnsi="Calibri" w:eastAsia="Microsoft YaHei"/>
        </w:rPr>
        <w:t>审批要求：班长确认/班长 + 调度主管双确认。</w:t>
      </w:r>
    </w:p>
    <w:p>
      <w:pPr>
        <w:pStyle w:val="ListBullet"/>
      </w:pPr>
      <w:r>
        <w:rPr>
          <w:rFonts w:ascii="Calibri" w:hAnsi="Calibri" w:eastAsia="Microsoft YaHei"/>
        </w:rPr>
        <w:t>未采纳原因：安全边界、设备风险、订单变化、数据不可信、经验判断。</w:t>
      </w:r>
    </w:p>
    <w:p>
      <w:pPr>
        <w:pStyle w:val="Heading1"/>
      </w:pPr>
      <w:r>
        <w:t>5. 调控师判断原则</w:t>
      </w:r>
    </w:p>
    <w:p>
      <w:pPr>
        <w:pStyle w:val="ListNumber"/>
      </w:pPr>
      <w:r>
        <w:rPr>
          <w:rFonts w:ascii="Calibri" w:hAnsi="Calibri" w:eastAsia="Microsoft YaHei"/>
        </w:rPr>
        <w:t>先安全后收益：任何收益测算都不能覆盖安环和设备硬边界。</w:t>
      </w:r>
    </w:p>
    <w:p>
      <w:pPr>
        <w:pStyle w:val="ListNumber"/>
      </w:pPr>
      <w:r>
        <w:rPr>
          <w:rFonts w:ascii="Calibri" w:hAnsi="Calibri" w:eastAsia="Microsoft YaHei"/>
        </w:rPr>
        <w:t>先小闭环后推广：一个班次链路跑通，再谈全厂协同。</w:t>
      </w:r>
    </w:p>
    <w:p>
      <w:pPr>
        <w:pStyle w:val="ListNumber"/>
      </w:pPr>
      <w:r>
        <w:rPr>
          <w:rFonts w:ascii="Calibri" w:hAnsi="Calibri" w:eastAsia="Microsoft YaHei"/>
        </w:rPr>
        <w:t>先解释后执行：无法解释触发约束的建议不得采纳。</w:t>
      </w:r>
    </w:p>
    <w:p>
      <w:pPr>
        <w:pStyle w:val="ListNumber"/>
      </w:pPr>
      <w:r>
        <w:rPr>
          <w:rFonts w:ascii="Calibri" w:hAnsi="Calibri" w:eastAsia="Microsoft YaHei"/>
        </w:rPr>
        <w:t>先复盘后迭代：未采纳原因比采纳原因更能提升模型。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787878"/>
        <w:sz w:val="18"/>
      </w:rPr>
      <w:t>仅用于参赛方案与试点论证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5A5A"/>
        <w:sz w:val="18"/>
      </w:rPr>
      <w:t>合成氨 AI 生产调度专家 | 提交材料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