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氨智领航调控师：产供销全线联动数字调度长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氨智领航调控师部署在生产运行管理层，汇总液氨库存、下游订单、产品行情、公用工程和设备状态，生成班次级分配与负荷建议。DCS、SIS、APC和设备保护系统继续承担控制与保护，平台仅提供只读分析、人工审批和执行记录。</w:t>
      </w:r>
    </w:p>
    <w:p>
      <w:pPr>
        <w:pStyle w:val="Heading1"/>
      </w:pPr>
      <w:r>
        <w:t>2. 业务主线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重点问题</w:t>
            </w:r>
          </w:p>
        </w:tc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演示抓手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核心业务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产供销协同与跨装置负荷联动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液氨有限、下游需求、市场价格、能源波动、装置负荷之间实时判断。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液氨去向重分配及硝酸、尿素、纯碱、复合肥、外售的相对外售分配贡献排序。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稳产辅助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跨装置波动协调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下游需求突变、公用工程约束、能源窗口和库存波动对主流程的影响。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下游降负荷后合成氨负荷、液氨库存和公用工程的联动节奏。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设备辅助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关键设备趋势异常提示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压缩机、气轮机驱动系统、关键机组和合成塔的持续趋势偏离。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振动、轴位移、防喘振裕度、轴承温度和床层温升的趋势证据。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经验管理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经审核的调度案例与规则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班组处置、未采纳原因和复盘结论缺少统一记录。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飞书多维表格复盘库、智能问答和新人场景训练清单。</w:t>
            </w:r>
          </w:p>
        </w:tc>
      </w:tr>
    </w:tbl>
    <w:p>
      <w:pPr>
        <w:pStyle w:val="Heading1"/>
      </w:pPr>
      <w:r>
        <w:t>3.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订单导出、MES班次计划、罐区历史摘要、飞书协同记录；后续扩展生产历史数据库与设备数据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班次调度事实表、口径字典、数据质量报告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约束与候选模型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机理硬约束、设备趋势、库存/订单预测；PINN仅作为待验证的反应器校准候选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规则版本、适用范围、漂移监控、留出班次回放报告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联动调度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液氨机会成本、非氨变动成本、流程连续性、APC/MPC候选建议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液氨分配、负荷调整、外采安排、停运评估和撤销条件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经验管理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经审核的调度案例、异常处置、未采纳原因和新人训练样本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规则修订建议、审核记录、版本和适用条件</w:t>
            </w:r>
          </w:p>
        </w:tc>
      </w:tr>
    </w:tbl>
    <w:p>
      <w:pPr>
        <w:pStyle w:val="Heading1"/>
      </w:pPr>
      <w:r>
        <w:t>4. 现有系统对接口径（待企业确认）</w:t>
      </w:r>
    </w:p>
    <w:p>
      <w:r>
        <w:rPr>
          <w:rFonts w:ascii="Calibri" w:hAnsi="Calibri" w:eastAsia="Microsoft YaHei"/>
        </w:rPr>
        <w:t>企业访谈记录显示，现场已有或正在建设多套生产与经营系统。平台在现有系统之间汇总班次调度所需信息，并明确数据来源、流向和写回边界；DCS、MES、APC和压机软件的原有职责保持不变。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现场系统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主要作用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平台边界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运行管理层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MES与合成氨调控平台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承接日计划、班次执行、交接摘要、负荷调整记录和复盘闭环。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审批通过后只写计划摘要、交接说明和复盘结果。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数据采集层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读取负荷、温度、压力、流量、电耗、蒸汽、罐区等实时/准实时数据。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作为平台的只读事实源，不替代DCS控制。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完成合成氨主装置的局部回路控制、顺控、报警和联锁保护。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通过生产历史数据库或只读接口获取摘要，不直接写控制参数。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热电与公辅控制层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和利时DCS与热电APC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提供蒸汽、电力、公用工程负荷、管网约束和热电优化结果。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读取热电APC约束余量和能耗窗口，生成跨装置调度建议。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机组与压机层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SMC压机软件、康迪森机组数据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提供离心压缩机、气轮机驱动系统和关键机组的状态与趋势数据。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用于设备趋势异常提示和停运评估，不直接触发开停车。</w:t>
            </w:r>
          </w:p>
        </w:tc>
      </w:tr>
    </w:tbl>
    <w:p>
      <w:pPr>
        <w:pStyle w:val="ListBullet"/>
      </w:pPr>
      <w:r>
        <w:rPr>
          <w:rFonts w:ascii="Calibri" w:hAnsi="Calibri" w:eastAsia="Microsoft YaHei"/>
        </w:rPr>
        <w:t>MES与合成氨调控平台：企业访谈中记录为“海尔豪斯”调控平台，具体厂商名称待企业确认。</w:t>
      </w:r>
    </w:p>
    <w:p>
      <w:pPr>
        <w:pStyle w:val="ListBullet"/>
      </w:pPr>
      <w:r>
        <w:rPr>
          <w:rFonts w:ascii="Calibri" w:hAnsi="Calibri" w:eastAsia="Microsoft YaHei"/>
        </w:rPr>
        <w:t>IoT平台：采集合成氨DCS底层数据，形成可供上层系统读取的过程数据底座。</w:t>
      </w:r>
    </w:p>
    <w:p>
      <w:pPr>
        <w:pStyle w:val="ListBullet"/>
      </w:pPr>
      <w:r>
        <w:rPr>
          <w:rFonts w:ascii="Calibri" w:hAnsi="Calibri" w:eastAsia="Microsoft YaHei"/>
        </w:rPr>
        <w:t>合成氨DCS：企业访谈中记录为中控体系，具体名称待企业确认。</w:t>
      </w:r>
    </w:p>
    <w:p>
      <w:pPr>
        <w:pStyle w:val="ListBullet"/>
      </w:pPr>
      <w:r>
        <w:rPr>
          <w:rFonts w:ascii="Calibri" w:hAnsi="Calibri" w:eastAsia="Microsoft YaHei"/>
        </w:rPr>
        <w:t>和利时DCS与热电APC：热电侧采用和利时DCS，并已有APC先进控制用于热电管网优化。</w:t>
      </w:r>
    </w:p>
    <w:p>
      <w:pPr>
        <w:pStyle w:val="ListBullet"/>
      </w:pPr>
      <w:r>
        <w:rPr>
          <w:rFonts w:ascii="Calibri" w:hAnsi="Calibri" w:eastAsia="Microsoft YaHei"/>
        </w:rPr>
        <w:t>SMC压机软件、康迪森机组数据：企业访谈中记录机组数据已接入和利时平台，具体点位清单待企业确认。</w:t>
      </w:r>
    </w:p>
    <w:p>
      <w:pPr>
        <w:pStyle w:val="Heading1"/>
      </w:pPr>
      <w:r>
        <w:t>5. 飞书功能模块在方案中的位置</w:t>
      </w:r>
    </w:p>
    <w:p>
      <w:r>
        <w:rPr>
          <w:rFonts w:ascii="Calibri" w:hAnsi="Calibri" w:eastAsia="Microsoft YaHei"/>
        </w:rPr>
        <w:t>飞书承接调度建议送达、审批、任务跟踪和班后复盘。调度建议完成责任人确认和状态留痕后，才进入MES计划摘要或复盘记录。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把目标负荷、处置状态、触发字段、相对外售分配贡献和确认按钮推送到当班调度群。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条件会签与责任链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设备、公辅、库存等登记条件成立时，路由班长、主管和对应专业确认。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approval_instance、approval_status、trigger_condition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企业发布后，由审批结果触发跟踪任务，核对生产历史数据库中的实际负荷、库存变化和班后结论。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飞书智能问答/事件回传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建议解释与案例复用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授权后支持调度员追问方案依据；操作结果返回待审核案例库，不自动修改生产规则。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6.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RTO侧：平台把天然气/煤气化、蒸汽、电力、液氨库存占用、订单延期、外售机会成本、边际贡献和固定成本吸收转化为经济目标，供实时优化或离线回放使用。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机理与模型侧：先以合成塔热平衡、反应器温升、氢氮比、循环气量和压缩机效率形成硬约束；PINN完成企业历史回放与留出班次验证后，才可作为旁路计算的候选校准方法。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2"/>
      </w:pPr>
      <w:r>
        <w:t>6（一）条件驱动处置</w:t>
      </w:r>
    </w:p>
    <w:p>
      <w:r>
        <w:rPr>
          <w:rFonts w:ascii="Calibri" w:hAnsi="Calibri" w:eastAsia="Microsoft YaHei"/>
        </w:rPr>
        <w:t>审批不由任何汇总分数驱动。平台逐项核对字段条件、持续时间、质量状态和规则版本，并按一般提示、相关专业会签和演练停算线三类处置。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处置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明确条件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系统动作</w:t>
            </w:r>
          </w:p>
        </w:tc>
        <w:tc>
          <w:tcPr>
            <w:tcW w:type="dxa" w:w="11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责任岗位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数据有效，且未命中专业会签条件或演练停算线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显示具体偏差、持续时间和核对事项；不自动创建审批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相关专业会签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设备趋势达到specialist_review条件，公辅余量异常或失效，库存接近确认边界，或其他已登记条件成立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显示触发字段、时间窗、质量状态和规则版本，通知对应专业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设备、公辅、罐区或工艺专业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演练停算线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趋势回放标记stop_new_recommendation_demo，或接口矩阵登记的停算条件成立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停止新目标、经济排序、动作单和审批；维持最近批准方案并转现场规程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现场指挥链与对应专业</w:t>
            </w:r>
          </w:p>
        </w:tc>
      </w:tr>
    </w:tbl>
    <w:p>
      <w:pPr>
        <w:pStyle w:val="Heading1"/>
      </w:pPr>
      <w:r>
        <w:t>7.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建议动作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试点观察项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高优订单保障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尿素溶液或复合肥用氨急单、液氨库存偏低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比较提高合成负荷、压缩弹性外售和调整其他下游分配。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订单延期风险、液氨期末库存和相对外售分配贡献。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蒸汽、电力或原料边际成本变化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比较不同负荷时段，保持企业确认的安全库存。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单位氨变动成本、库存占用和负荷变化次数。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设备趋势异常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设备指标持续偏离或合成塔温升异常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显示趋势证据，建议复核负荷上限和点检窗口。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提示提前量、检查结果和人工处置记录。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转人工处理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数据过期、口径冲突或输入超出模型适用工况范围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停止给出可执行建议，不回写计划，保留原计划并提示人工复核。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降级原因、恢复条件和复核用时。</w:t>
            </w:r>
          </w:p>
        </w:tc>
      </w:tr>
    </w:tbl>
    <w:p>
      <w:pPr>
        <w:pStyle w:val="Heading1"/>
      </w:pPr>
      <w:r>
        <w:t>8. 跨系统班次信息汇总</w:t>
      </w:r>
    </w:p>
    <w:p>
      <w:r>
        <w:rPr>
          <w:rFonts w:ascii="Calibri" w:hAnsi="Calibri" w:eastAsia="Microsoft YaHei"/>
        </w:rPr>
        <w:t>企业访谈显示，班次调度信息分散在MES、DCS、IoT、APC、压机软件、热电平台和经营数据中。调度长需要逐项查看价格、库存、订单、装置负荷、设备状态和公用工程约束。平台按班次汇总这些信息，并记录每次判断使用的数据和规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现场问题</w:t>
            </w:r>
          </w:p>
        </w:tc>
        <w:tc>
          <w:tcPr>
            <w:tcW w:type="dxa" w:w="25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当前做法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试点观察项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信息分散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从多套系统逐项查看。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生成带来源、时间戳和质量码的班次调度事实表。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查数用时和口径差异数量。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判断依赖经验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由调度长判断哪些信息影响当班方案。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记录历史方案、驳回原因、复盘结论和适用条件。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新人场景判断准确率与用时。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跨线取舍复杂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人工比较液氨去向、下游负荷、热电约束和设备状态。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列出候选分配方案、约束、牺牲项和撤销条件。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人工复核差异和决策用时。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复盘记录不完整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判断常停留在口头交接。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通过飞书任务、审批和多维表格保存待审核案例。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复盘字段完整率和审核完成率。</w:t>
            </w:r>
          </w:p>
        </w:tc>
      </w:tr>
    </w:tbl>
    <w:p>
      <w:pPr>
        <w:pStyle w:val="Heading1"/>
      </w:pPr>
      <w:r>
        <w:t>9. 产供销经济取舍口径</w:t>
      </w:r>
    </w:p>
    <w:p>
      <w:r>
        <w:rPr>
          <w:rFonts w:ascii="Calibri" w:hAnsi="Calibri" w:eastAsia="Microsoft YaHei"/>
        </w:rPr>
        <w:t>产供销调度采用增量口径比较液氨去向：产品净收入减非氨变动成本、包装物流、液氨机会成本和启停摊销，再加经财务确认的违约避免额。结果称为“相对外售分配贡献测算值”，用于方案比较，不表示已经实现的收益。折旧和固定人工仅作管理解释，不重复计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测算项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48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调控师使用方式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销售价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尿素、纯碱、硝酸、复合肥、液氨外售等实时或预测行情。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识别价格趋势，但不单独作为开停依据。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变动成本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原料、蒸汽、电力、包装、物流等随产量变化的成本。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判断产品是否至少覆盖直接增量成本。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销售收入扣除变动成本后对折旧、人工、公辅和固定费用的贡献。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售价低于完全成本但边际贡献为正时，可作为“继续开”的理由之一。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连续开车可能覆盖部分折旧、固定人工和装置维持费用。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作为管理层解释单列展示，不再计入增量贡献，避免重复核算。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机会成本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液氨有限时，供硝酸、尿素、纯碱、复合肥或外售之间的替代收益。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选择单位液氨综合贡献更高且不破坏安全连续性的去向。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停车、重启、废料、人员和物料损失。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当边际贡献接近零时，停开成本可能决定是否继续运行。</w:t>
            </w:r>
          </w:p>
        </w:tc>
      </w:tr>
    </w:tbl>
    <w:p>
      <w:pPr>
        <w:pStyle w:val="Heading1"/>
      </w:pPr>
      <w:r>
        <w:t>10. 跨装置联动的调度优先级</w:t>
      </w:r>
    </w:p>
    <w:p>
      <w:r>
        <w:rPr>
          <w:rFonts w:ascii="Calibri" w:hAnsi="Calibri" w:eastAsia="Microsoft YaHei"/>
        </w:rPr>
        <w:t>企业访谈确认：合成氨调度不能只看当班利润，必须先保安全，再保流程连续，只有在流程确实需要中断时才进入特殊取舍。DCS可以完成液位、阀门、局部顺控和联锁保护，但难以自动判断下游异常、气区设备、能源窗口和产品结构变化后的跨大单元联动，因此本方案把这部分做成调控师的规则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判断口径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留痕与边界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1. 安全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安环红线、SIS/DCS联锁，或罐区、压缩机、合成塔关键测量接近企业确认边界。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命中演练停算线时停止新目标、经济排序、动作单和审批，维持最近批准方案。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不绕过DCS/SIS；转现场规程并记录触发字段。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2. 流程不中断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气化、净化、合成、空分、气轮机驱动系统和液氨去向的连续性。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优先做跨装置负荷联动，减少停车后重启时间、废料、人员和物料损失。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输出重启成本、废料成本、影响范围和回滚条件。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3. 特殊取舍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流程确需中断时，比较空分、合成气轮机驱动系统与下游装置的停运代价。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按安全、重启复杂度、废料损失和主流程影响排序；企业口述案例仅作为待复核候选，不固化为通用停机规则。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由班长、调度主管和相关专业会签；平台不自动执行停机。</w:t>
            </w:r>
          </w:p>
        </w:tc>
      </w:tr>
    </w:tbl>
    <w:p>
      <w:pPr>
        <w:pStyle w:val="Heading1"/>
      </w:pPr>
      <w:r>
        <w:t>11.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校核四类离线或只读数据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订单导出、MES班次计划、罐区历史摘要、飞书协同记录的字段字典、样例和质量报告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逐字段确认来源、时间戳、单位、质量状态和责任专业，不接入DCS实时写路径。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扩展只读数据并开展旁路回放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生产历史数据库、设备和公用工程只读接口；调度建议、人工方案及差异报告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覆盖正常班次、急单、库存偏低和设备趋势异常场景。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开展条件受控执行验证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不少于30个有效班次，覆盖产供销重排、公辅波动吸收、设备趋势复核三类场景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只选择未命中演练停算线且审批条件完整的场景；无Historian回传时实际值为空。</w:t>
            </w:r>
          </w:p>
        </w:tc>
      </w:tr>
    </w:tbl>
    <w:p>
      <w:pPr>
        <w:pStyle w:val="Heading1"/>
      </w:pPr>
      <w:r>
        <w:t>12. 验收与停用条件</w:t>
      </w:r>
    </w:p>
    <w:p>
      <w:pPr>
        <w:pStyle w:val="ListBullet"/>
      </w:pPr>
      <w:r>
        <w:rPr>
          <w:rFonts w:ascii="Calibri" w:hAnsi="Calibri" w:eastAsia="Microsoft YaHei"/>
        </w:rPr>
        <w:t>验收条件：双方先确认基线期、评价期和阈值；至少覆盖30个有效班次和产供销重排、公辅波动吸收、设备趋势复核三类场景。安全、数据质量、建议可复算和审批合规为必过项，再比较订单满足率、单位氨变动成本、库存占用、调度用时和提示提前量。</w:t>
      </w:r>
    </w:p>
    <w:p>
      <w:pPr>
        <w:pStyle w:val="ListBullet"/>
      </w:pPr>
      <w:r>
        <w:rPr>
          <w:rFonts w:ascii="Calibri" w:hAnsi="Calibri" w:eastAsia="Microsoft YaHei"/>
        </w:rPr>
        <w:t>贡献口径：24小时指标统一称为相对外售分配贡献测算值；实际效果只统计已采纳、已执行且完成归因的方案。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停用条件：关键数据过期或缺失、输入超出适用工况范围、模型偏差超过双方确认的控制限，或安全与设备限值接近时停止给出可执行建议。</w:t>
      </w:r>
    </w:p>
    <w:p>
      <w:pPr>
        <w:pStyle w:val="Heading2"/>
      </w:pPr>
      <w:r>
        <w:t>12（一）预登记验收目标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指标</w:t>
            </w:r>
          </w:p>
        </w:tc>
        <w:tc>
          <w:tcPr>
            <w:tcW w:type="dxa" w:w="58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定义稿口径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数据可用率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新鲜度窗口内且质量状态合格的必需记录数 / 应到必需记录数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不低于98%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物料平衡残差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|期初可用量+期间产量+外采-各去向-期末可用量| / (期初可用量+期间产量+外采)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不高于1.5%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快照重算P95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合格输入快照冻结至方案、约束证据和测算明细生成完成的95分位耗时，不含人工确认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不高于120秒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调度决策中位耗时缩短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1-试点同类场景决策中位耗时/基线中位耗时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不低于30%</w:t>
            </w:r>
          </w:p>
        </w:tc>
      </w:tr>
    </w:tbl>
    <w:p>
      <w:r>
        <w:rPr>
          <w:rFonts w:ascii="Calibri" w:hAnsi="Calibri" w:eastAsia="Microsoft YaHei"/>
        </w:rPr>
        <w:t>以上目标是试点定义稿，不表示当前已达成。字段范围、分母、时间起止点、场景分层、基线期和排除项在30天数据校核后由企业冻结。</w:t>
      </w:r>
    </w:p>
    <w:p>
      <w:pPr>
        <w:pStyle w:val="Heading2"/>
      </w:pPr>
      <w:r>
        <w:t>12（二）仓库内验收样例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文件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关键字段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使用边界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data/compressor_trend_replay_sample.csv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压缩机趋势回放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负荷、轴振、轴位移、防喘振裕度、轴承温度、质量码和复核标签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仅验证观察、专业会签和演练停算流程；不作为企业设备阈值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data/interface_field_matrix.csv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接口字段矩阵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阶段、来源系统、字段、方向、频率、时间基准、质量规则、单位、责任专业和超时动作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字段与动作是定义稿，30天校核后由企业冻结</w:t>
            </w:r>
          </w:p>
        </w:tc>
      </w:tr>
    </w:tbl>
    <w:p>
      <w:pPr>
        <w:pStyle w:val="Heading1"/>
      </w:pPr>
      <w:r>
        <w:t>13. 典型班次证据链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3"/>
        <w:gridCol w:w="1953"/>
        <w:gridCol w:w="1953"/>
        <w:gridCol w:w="1953"/>
        <w:gridCol w:w="1953"/>
      </w:tblGrid>
      <w:tr>
        <w:tc>
          <w:tcPr>
            <w:tcW w:type="dxa" w:w="7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编号</w:t>
            </w:r>
          </w:p>
        </w:tc>
        <w:tc>
          <w:tcPr>
            <w:tcW w:type="dxa" w:w="34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证据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责任岗位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保存位置</w:t>
            </w:r>
          </w:p>
        </w:tc>
        <w:tc>
          <w:tcPr>
            <w:tcW w:type="dxa" w:w="13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状态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E01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原班次计划、触发时间和输入快照哈希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E02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订单、MES计划、罐区摘要、行情确认和数据质量状态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经营、生产、罐区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样例已形成；企业数据待授权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E03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物料守恒、安全库存、公辅余量、设备趋势和条件路由结果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生产、设备、安环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约束校核记录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E04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原计划、候选方案、有效期、撤销条件和贡献账本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调度员、财务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方案版本与测算明细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E05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班长确认，以及命中明确条件时对应专业的会签或退回意见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班长、调度主管、对应专业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飞书审批记录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状态机为原型；审批定义待授权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E06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动作单版本、四岗位接令人、接令时间、回复和异常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四岗位主操/调度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Task v2与动作单记录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普通任务已验证；自动拆单为原型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E07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Historian回传的实际负荷、库存、能耗和执行偏差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生产、信息化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执行跟踪记录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待授权；接令不作实际值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E08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未采纳原因、归因、适用条件、审核人和规则版本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生产、设备、安环、经营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Base待审核案例库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样例库已验证；审核流程为原型</w:t>
            </w:r>
          </w:p>
        </w:tc>
      </w:tr>
    </w:tbl>
    <w:p>
      <w:r>
        <w:rPr>
          <w:rFonts w:ascii="Calibri" w:hAnsi="Calibri" w:eastAsia="Microsoft YaHei"/>
        </w:rPr>
        <w:t>E01至E04完整后才允许提交建议；E05完成所需会签后生成动作单；E06四岗位未全部接令时不得进入执行跟踪；E07缺失时不得填写实际效果；E08未经审核不得修订规则。</w:t>
      </w:r>
    </w:p>
    <w:p>
      <w:pPr>
        <w:pStyle w:val="Heading1"/>
      </w:pPr>
      <w:r>
        <w:t>14. 跨装置调度动作单</w:t>
      </w:r>
    </w:p>
    <w:p>
      <w:r>
        <w:rPr>
          <w:rFonts w:ascii="Calibri" w:hAnsi="Calibri" w:eastAsia="Microsoft YaHei"/>
        </w:rPr>
        <w:t>审批通过后生成跨装置调度动作单，由合成主操、硝酸主操、罐区/调度和公辅调度分别接令。四个岗位全部接令后才可进入执行跟踪；接令只表示收到有效方案并确认责任，不表示现场已经执行。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接令岗位</w:t>
            </w:r>
          </w:p>
        </w:tc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接令时核对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接令后的责任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退回处理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目标负荷、升降负荷节奏、保持条件和撤销条件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确认收到有效版本，按现行操作票组织执行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保留原计划并反馈不可执行原因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硝酸主操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下游目标负荷、耗氨窗口、缓冲能力和恢复条件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确认下游承接节奏与现场条件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退回调度重算液氨去向与负荷方案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罐区/调度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液氨库存、收发安排、安全库存和物流窗口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确认库存与收发计划能够支撑动作单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标记冲突并冻结执行跟踪入口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公辅调度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蒸汽、电力、空分、循环水等余量和时间窗口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确认公辅条件满足动作单要求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返回受限时段和可用窗口，重新排程</w:t>
            </w:r>
          </w:p>
        </w:tc>
      </w:tr>
    </w:tbl>
    <w:p>
      <w:r>
        <w:rPr>
          <w:rFonts w:ascii="Calibri" w:hAnsi="Calibri" w:eastAsia="Microsoft YaHei"/>
        </w:rPr>
        <w:t>动作单以班次编号、方案版本和岗位标识唯一记录接令人、接令时间、回复、异常和有效期。审批状态机与动作单门禁为原型，Task v2普通任务写入已验证；自动拆单、岗位身份映射和事件汇总待授权。实际负荷、库存和能耗只接受Historian或企业认可的只读事实源回传，无回传时保持为空。</w:t>
      </w:r>
    </w:p>
    <w:p>
      <w:pPr>
        <w:pStyle w:val="Heading1"/>
      </w:pPr>
      <w:r>
        <w:t>15. 试点验收口径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验收项</w:t>
            </w:r>
          </w:p>
        </w:tc>
        <w:tc>
          <w:tcPr>
            <w:tcW w:type="dxa" w:w="626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口径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判定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安全硬约束零突破；不存在DCS/SIS写入路径，不替代报警、联锁、操作票和现场确认。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数据真实性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关键字段缺失、过期或质量无效时转人工；无生产历史数据库回传时实际值为空。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可复算性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液氨物料守恒、相对外售分配贡献和方案排序可按同一输入快照复算。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条件处置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一般提示、专业会签和演练停算线可追到字段、时间窗、质量状态和规则版本；审批不由汇总分数驱动。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动作单门禁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审批后四岗位分别接令，未全部接令不得进入执行跟踪；接令状态不得填入实际执行字段。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场景覆盖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90天不少于30个有效班次，覆盖产供销重排、公辅波动吸收和设备趋势复核。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效果观察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按双方冻结口径比较数据完整率、调度用时、订单满足率、库存偏差、单位氨变动成本和提示提前量。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基线确认后评价</w:t>
            </w:r>
          </w:p>
        </w:tc>
      </w:tr>
    </w:tbl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[2]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[3]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[4]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[5]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[6]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[7] Aspen Technology. Aspen GDOT. https://www.aspentech.com/en/products/msc/aspen-gdot</w:t>
      </w:r>
    </w:p>
    <w:p>
      <w:r>
        <w:rPr>
          <w:rFonts w:ascii="Calibri" w:hAnsi="Calibri" w:eastAsia="Microsoft YaHei"/>
        </w:rPr>
        <w:t>[8] Honeywell. Honeywell Forge Performance+ for Industrials | Production Intelligence. https://process.honeywell.com/us/en/products/industrial-software/operational-excellence/honeywell-forge-production-intelligence</w:t>
      </w:r>
    </w:p>
    <w:p>
      <w:r>
        <w:rPr>
          <w:rFonts w:ascii="Calibri" w:hAnsi="Calibri" w:eastAsia="Microsoft YaHei"/>
        </w:rPr>
        <w:t>[9]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[10]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[11] 飞书开放平台. 开放平台概述（含飞书智能伙伴搭建平台Aily）. https://open.feishu.cn/document/client-docs/intro?lang=zh-CN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