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调控师操作手册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班次调度建议、飞书协同与转人工处理</w:t>
      </w:r>
    </w:p>
    <w:p>
      <w:pPr>
        <w:pStyle w:val="Heading1"/>
      </w:pPr>
      <w:r>
        <w:t>1. 当班操作流程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时间点</w:t>
            </w:r>
          </w:p>
        </w:tc>
        <w:tc>
          <w:tcPr>
            <w:tcW w:type="dxa" w:w="31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现场确认</w:t>
            </w:r>
          </w:p>
        </w:tc>
        <w:tc>
          <w:tcPr>
            <w:tcW w:type="dxa" w:w="18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留痕位置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班前30分钟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刷新订单、液氨库存、下游需求、行情、公用工程和设备状态，生成班次调度事实表。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调度员核对来源、时间戳、单位和质量状态。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查看产供销建议、跨装置协调事项和设备趋势异常提示。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班长确认液氨分配、负荷调整、外采安排和撤销条件。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班中偏差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库存、设备、订单或能源条件变化时重新计算候选方案。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未经确认继续执行原计划。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方案变更记录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</w:t>
            </w:r>
          </w:p>
        </w:tc>
        <w:tc>
          <w:tcPr>
            <w:tcW w:type="dxa" w:w="31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记录采纳状态、实际负荷、能耗、库存、偏差和原因。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班长补充现场判断，专业人员审核后入库。</w:t>
            </w:r>
          </w:p>
        </w:tc>
        <w:tc>
          <w:tcPr>
            <w:tcW w:type="dxa" w:w="18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飞书多维表格</w:t>
            </w:r>
          </w:p>
        </w:tc>
      </w:tr>
    </w:tbl>
    <w:p>
      <w:pPr>
        <w:pStyle w:val="Heading2"/>
      </w:pPr>
      <w:r>
        <w:t>1（一）当班使用顺序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核对产供销数据：确认订单、库存、价格和相对外售分配贡献测算口径。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检查连续生产约束：确认下游需求、公用工程、设备和库存变化是否需要跨装置协调。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检查设备趋势：查看偏离变量、持续时间、数据来源、检查项和通知专业，不直接触发开停车。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完成班后记录：保存采纳、驳回、执行偏差和现场原因，待专业人员审核后进入案例库。</w:t>
      </w:r>
    </w:p>
    <w:p>
      <w:pPr>
        <w:pStyle w:val="Heading1"/>
      </w:pPr>
      <w:r>
        <w:t>2. 飞书协同动作</w:t>
      </w:r>
    </w:p>
    <w:p>
      <w:pPr>
        <w:pStyle w:val="ListBullet"/>
      </w:pPr>
      <w:r>
        <w:rPr>
          <w:rFonts w:ascii="Calibri" w:hAnsi="Calibri" w:eastAsia="Microsoft YaHei"/>
        </w:rPr>
        <w:t>互动卡片原型：显示目标负荷、处置状态、触发字段、相对外售分配贡献、撤销条件和确认按钮。</w:t>
      </w:r>
    </w:p>
    <w:p>
      <w:pPr>
        <w:pStyle w:val="ListBullet"/>
      </w:pPr>
      <w:r>
        <w:rPr>
          <w:rFonts w:ascii="Calibri" w:hAnsi="Calibri" w:eastAsia="Microsoft YaHei"/>
        </w:rPr>
        <w:t>审批原型：设备、公辅、库存等明确条件成立时生成会签草稿，字段包括装置、目标负荷、触发字段、现场影响和撤销条件。</w:t>
      </w:r>
    </w:p>
    <w:p>
      <w:pPr>
        <w:pStyle w:val="ListBullet"/>
      </w:pPr>
      <w:r>
        <w:rPr>
          <w:rFonts w:ascii="Calibri" w:hAnsi="Calibri" w:eastAsia="Microsoft YaHei"/>
        </w:rPr>
        <w:t>飞书多维表格：记录班次事实、采纳状态、未采纳原因、执行偏差和复盘结论。</w:t>
      </w:r>
    </w:p>
    <w:p>
      <w:pPr>
        <w:pStyle w:val="ListBullet"/>
      </w:pPr>
      <w:r>
        <w:rPr>
          <w:rFonts w:ascii="Calibri" w:hAnsi="Calibri" w:eastAsia="Microsoft YaHei"/>
        </w:rPr>
        <w:t>飞书智能问答待授权：接入知识源后，可追问降负荷依据、库存可支撑时间和设备趋势检查步骤。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操作节点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班组确认口径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方案生成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企业发布后，调控师向合成氨当班群发送互动卡片。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核对目标负荷、触发字段、处置状态、撤销条件和与原计划差异。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条件会签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一般提示不自动升级；设备、公辅、库存等登记条件成立时增加主管和对应专业。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未完成所需会签前不写MES计划摘要。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企业发布后，审批结果触发飞书任务并列出核对清单。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通过生产历史数据库只读数据核对实际负荷、库存和公用工程变化。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班后记录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复盘字段写入飞书多维表格，未采纳原因进入待审核案例库。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记录不采纳原因和执行偏差，由专业人员决定是否修订规则。</w:t>
            </w:r>
          </w:p>
        </w:tc>
      </w:tr>
    </w:tbl>
    <w:p>
      <w:pPr>
        <w:pStyle w:val="Heading2"/>
      </w:pPr>
      <w:r>
        <w:t>2（一）条件驱动处置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处置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明确条件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系统动作</w:t>
            </w:r>
          </w:p>
        </w:tc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数据有效，且未命中专业会签条件或演练停算线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显示具体偏差、持续时间和核对事项；不自动创建审批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相关专业会签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设备趋势达到specialist_review条件，公辅余量异常或失效，库存接近确认边界，或其他已登记条件成立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显示触发字段、时间窗、质量状态和规则版本，通知对应专业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设备、公辅、罐区或工艺专业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演练停算线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趋势回放标记stop_new_recommendation_demo，或接口矩阵登记的停算条件成立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停止新目标、经济排序、动作单和审批；维持最近批准方案并转现场规程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现场指挥链与对应专业</w:t>
            </w:r>
          </w:p>
        </w:tc>
      </w:tr>
    </w:tbl>
    <w:p>
      <w:r>
        <w:rPr>
          <w:rFonts w:ascii="Calibri" w:hAnsi="Calibri" w:eastAsia="Microsoft YaHei"/>
        </w:rPr>
        <w:t>命中演练停算线时，立即停止新目标、经济排序、动作单和审批，维持最近批准方案并转现场规程；解除条件由对应专业确认后再冻结新快照。</w:t>
      </w:r>
    </w:p>
    <w:p>
      <w:pPr>
        <w:pStyle w:val="Heading1"/>
      </w:pPr>
      <w:r>
        <w:t>3. 异常处理原则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安全与设备限值接近时，停止给出经济性负荷建议，保留原计划并提示人工处置。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下游异常、公用工程约束或能源条件变化时，先核对气化、净化、合成和液氨去向的连续性。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确需停运时，比较候选装置的重启时间、废料、人员和物料损失；既往案例只作提示，最终由相关人员会签。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无法说明触发数据、约束、贡献测算和撤销条件的建议不得提交审批。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任何负荷调整均由班组按现行操作票和审批制度执行；平台不写DCS/SIS，也不自动开停车。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 w:eastAsia="Microsoft YaHei"/>
        </w:rPr>
        <w:t>班后记录先进入待审核案例库，审核通过后才可修订规则或纳入训练样本。</w:t>
      </w:r>
    </w:p>
    <w:p>
      <w:pPr>
        <w:pStyle w:val="Heading1"/>
      </w:pPr>
      <w:r>
        <w:t>4. 审批后的跨装置动作单</w:t>
      </w:r>
    </w:p>
    <w:p>
      <w:r>
        <w:rPr>
          <w:rFonts w:ascii="Calibri" w:hAnsi="Calibri" w:eastAsia="Microsoft YaHei"/>
        </w:rPr>
        <w:t>审批通过后生成跨装置调度动作单，由合成主操、硝酸主操、罐区/调度和公辅调度分别接令。四个岗位全部接令后才可进入执行跟踪；接令只表示收到有效方案并确认责任，不表示现场已经执行。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接令岗位</w:t>
            </w:r>
          </w:p>
        </w:tc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接令时核对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接令后的责任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退回处理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目标负荷、升降负荷节奏、保持条件和撤销条件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确认收到有效版本，按现行操作票组织执行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保留原计划并反馈不可执行原因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硝酸主操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下游目标负荷、耗氨窗口、缓冲能力和恢复条件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确认下游承接节奏与现场条件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退回调度重算液氨去向与负荷方案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罐区/调度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液氨库存、收发安排、安全库存和物流窗口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确认库存与收发计划能够支撑动作单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标记冲突并冻结执行跟踪入口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蒸汽、电力、空分、循环水等余量和时间窗口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确认公辅条件满足动作单要求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返回受限时段和可用窗口，重新排程</w:t>
            </w:r>
          </w:p>
        </w:tc>
      </w:tr>
    </w:tbl>
    <w:p>
      <w:r>
        <w:rPr>
          <w:rFonts w:ascii="Calibri" w:hAnsi="Calibri" w:eastAsia="Microsoft YaHei"/>
        </w:rPr>
        <w:t>动作单以班次编号、方案版本和岗位标识唯一记录接令人、接令时间、回复、异常和有效期。审批状态机与动作单门禁为原型，Task v2普通任务写入已验证；自动拆单、岗位身份映射和事件汇总待授权。实际负荷、库存和能耗只接受Historian或企业认可的只读事实源回传，无回传时保持为空。</w:t>
      </w:r>
    </w:p>
    <w:p>
      <w:pPr>
        <w:pStyle w:val="Heading1"/>
      </w:pPr>
      <w:r>
        <w:t>5. 班次留痕顺序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建议生成前冻结原计划和输入快照，记录数据来源、时间、单位和质量状态。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审批完成后生成四岗位动作单，任何岗位未接令或退回时保留原计划并返回调度重算。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全部接令后进入执行跟踪，但不得把接令状态、任务完成按钮或人工备注填作实际负荷。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Historian回传后计算建议值与实际值偏差；无回传时实际值为空，不进入效果统计。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</w:rPr>
        <w:t>班后记录事实、决定、执行、原因和适用条件，经专业人员审核后归档。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