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参考文献与数据依据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合成氨调度专家平台证据链</w:t>
      </w:r>
    </w:p>
    <w:p>
      <w:pPr>
        <w:pStyle w:val="Heading1"/>
      </w:pPr>
      <w:r>
        <w:t>资料如何进入方案</w:t>
      </w:r>
    </w:p>
    <w:p>
      <w:r>
        <w:rPr>
          <w:rFonts w:ascii="Calibri" w:hAnsi="Calibri" w:eastAsia="Microsoft YaHei"/>
        </w:rPr>
        <w:t>本文件记录业务判断的来源、使用位置和适用边界。公司公告用于确认项目规模和产业链关系；行业标准用于划分系统边界和报警职责；工业软件资料用于对照功能，不作为本平台效果证明；控制优化研究用于支持方法选择。现场点位、阈值、成本和实际效果仍须由企业数据确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资料类型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支撑问题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方案体现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云图公告与年报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70万吨合成氨与下游肥化产业链协同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以尿素溶液、复合肥、联碱、液氨外售作为调度对象。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合成氨安全资料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高温高压连续流程的安全边界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DCS/SIS隔离、安环红线、罐区安全库存、停用条件。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MPC/RTO与负荷调节研究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连续装置动态优化可行性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班次级目标负荷、经济目标、回放验证和模型治理。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ISA-95与工业软件资料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企业计划、制造运营与控制系统的职责边界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生产管理层决策支持、只读取数和MES计划摘要边界。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ISA-18报警管理资料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区分DCS报警与平台一般提示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设备趋势异常只作分析提示，不冒充控制系统报警。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飞书Task v2与Aily资料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任务跟踪和授权知识问答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已验证任务API；智能问答、卡片、审批和事件回传按交付状态说明。</w:t>
            </w:r>
          </w:p>
        </w:tc>
      </w:tr>
    </w:tbl>
    <w:p>
      <w:pPr>
        <w:pStyle w:val="Heading1"/>
      </w:pPr>
      <w:r>
        <w:t>关键事实提炼</w:t>
      </w:r>
    </w:p>
    <w:p>
      <w:pPr>
        <w:pStyle w:val="ListBullet"/>
      </w:pPr>
      <w:r>
        <w:rPr>
          <w:rFonts w:ascii="Calibri" w:hAnsi="Calibri" w:eastAsia="Microsoft YaHei"/>
        </w:rPr>
        <w:t>合成氨既是高能耗基础化工环节，也是氮肥产业链的关键原料入口，软件层运行优化具有持续价值。</w:t>
      </w:r>
    </w:p>
    <w:p>
      <w:pPr>
        <w:pStyle w:val="ListBullet"/>
      </w:pPr>
      <w:r>
        <w:rPr>
          <w:rFonts w:ascii="Calibri" w:hAnsi="Calibri" w:eastAsia="Microsoft YaHei"/>
        </w:rPr>
        <w:t>云图公告和2025年年度报告说明70万吨合成氨项目与下游肥化产业链存在协同关系，具体生产效果以企业数据为准。</w:t>
      </w:r>
    </w:p>
    <w:p>
      <w:pPr>
        <w:pStyle w:val="ListBullet"/>
      </w:pPr>
      <w:r>
        <w:rPr>
          <w:rFonts w:ascii="Calibri" w:hAnsi="Calibri" w:eastAsia="Microsoft YaHei"/>
        </w:rPr>
        <w:t>动态优化必须服从机理、安全和设备约束，不能把算法结果直接等同于可执行控制指令。</w:t>
      </w:r>
    </w:p>
    <w:p>
      <w:pPr>
        <w:pStyle w:val="ListBullet"/>
      </w:pPr>
      <w:r>
        <w:rPr>
          <w:rFonts w:ascii="Calibri" w:hAnsi="Calibri" w:eastAsia="Microsoft YaHei"/>
        </w:rPr>
        <w:t>企业试点从离线和只读数据校核开始，经过旁路回放、人工确认和停算条件验证后，再进入条件受控执行验证。</w:t>
      </w:r>
    </w:p>
    <w:p>
      <w:pPr>
        <w:pStyle w:val="Heading1"/>
      </w:pPr>
      <w:r>
        <w:t>仓库内验收样例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文件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关键字段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使用边界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data/compressor_trend_replay_sample.csv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压缩机趋势回放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负荷、轴振、轴位移、防喘振裕度、轴承温度、质量码和复核标签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仅验证观察、专业会签和演练停算流程；不作为企业设备阈值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data/interface_field_matrix.csv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接口字段矩阵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阶段、来源系统、字段、方向、频率、时间基准、质量规则、单位、责任专业和超时动作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字段与动作是定义稿，30天校核后由企业冻结</w:t>
            </w:r>
          </w:p>
        </w:tc>
      </w:tr>
    </w:tbl>
    <w:p>
      <w:r>
        <w:rPr>
          <w:rFonts w:ascii="Calibri" w:hAnsi="Calibri" w:eastAsia="Microsoft YaHei"/>
        </w:rPr>
        <w:t>试点预登记目标为数据可用率不低于98%、物料平衡残差不高于1.5%、快照重算P95不高于120秒、调度决策中位耗时缩短不低于30%。这些目标是定义稿，30天校核后由企业冻结。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[11] Aspen Technology. Aspen GDOT. https://www.aspentech.com/en/products/msc/aspen-gdot</w:t>
      </w:r>
    </w:p>
    <w:p>
      <w:r>
        <w:rPr>
          <w:rFonts w:ascii="Calibri" w:hAnsi="Calibri" w:eastAsia="Microsoft YaHei"/>
        </w:rPr>
        <w:t>[12] Honeywell. Honeywell Forge Performance+ for Industrials | Production Intelligence. https://process.honeywell.com/us/en/products/industrial-software/operational-excellence/honeywell-forge-production-intelligence</w:t>
      </w:r>
    </w:p>
    <w:p>
      <w:r>
        <w:rPr>
          <w:rFonts w:ascii="Calibri" w:hAnsi="Calibri" w:eastAsia="Microsoft YaHei"/>
        </w:rPr>
        <w:t>[13]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[14]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[15] 飞书开放平台. 开放平台概述（含飞书智能伙伴搭建平台Aily）. https://open.feishu.cn/document/client-docs/intro?lang=zh-CN</w:t>
      </w:r>
    </w:p>
    <w:p>
      <w:r>
        <w:rPr>
          <w:rFonts w:ascii="Calibri" w:hAnsi="Calibri" w:eastAsia="Microsoft YaHei"/>
        </w:rPr>
        <w:t>[16] 飞书开放平台. 执行数据知识问答（Aily v1）. https://open.feishu.cn/document/uAjLw4CM/ukTMukTMukTM/aily-v1/data-knowledge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