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从业务问题到试点交付</w:t>
      </w:r>
    </w:p>
    <w:p>
      <w:pPr>
        <w:pStyle w:val="Heading1"/>
      </w:pPr>
      <w:r>
        <w:t>1. 已形成的交付基础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当前状态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企业试点工作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本地平台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已完成交互工作台、24小时液氨平衡样例、相对外售分配贡献账本和流程演示。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替换样例数据，确认现场点位、单位、阈值和财务口径。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在线文档、Base样例库和Task v2验收任务t136777已验证；卡片、审批和事件回传为原型。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授权目标群机器人、审批定义、知识源、回调地址和企业应用权限。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实施与治理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已形成数据契约、控制边界、30/60/90天范围、停算条件和复盘字段。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完成四类首批数据校核、旁路回放、条件受控执行验证和验收基线确认。</w:t>
            </w:r>
          </w:p>
        </w:tc>
      </w:tr>
    </w:tbl>
    <w:p>
      <w:pPr>
        <w:pStyle w:val="Heading1"/>
      </w:pPr>
      <w:r>
        <w:t>2. 关键创新点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方案特点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把液氨库存、下游需求、市场价格、公用工程和装置负荷放在同一班次口径中比较。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班次调度事实表、相对外售分配贡献排序和跨装置协调回放。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下游需求或公用工程条件变化时，给出负荷调整顺序和连续生产边界。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需求变化回放、负荷节奏建议和撤销条件。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机理约束与候选校准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先把反应器温升、氢氮比、循环气量和压缩机效率作为硬边界；PINN不预设为已交付能力。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企业历史回放、留出班次验证、适用域和退出条件。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APC/RTO接口边界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读取约束余量和候选经济目标，不改写底层控制器。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区分已验证链路、原型和待授权能力。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v2任务、Base样例、卡片与审批原型、Aily和事件回传授权清单。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未采纳原因记录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把专家否决和现场判断保存为待审核案例。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每周输出候选规则、审核人、适用条件和版本。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与原计划对照的贡献核算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避免把行情变化误写为平台带来的效果。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保留原计划、调度建议、确认结果、实际执行和外部影响。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30天数据：订单导出、MES班次计划、罐区历史摘要和飞书协同记录的字段字典、样例与质量报告。</w:t>
      </w:r>
    </w:p>
    <w:p>
      <w:pPr>
        <w:pStyle w:val="ListBullet"/>
      </w:pPr>
      <w:r>
        <w:rPr>
          <w:rFonts w:ascii="Calibri" w:hAnsi="Calibri" w:eastAsia="Microsoft YaHei"/>
        </w:rPr>
        <w:t>60天验证：生产历史数据库、设备和公用工程只读数据的旁路回放、人工方案对照和偏差报告。</w:t>
      </w:r>
    </w:p>
    <w:p>
      <w:pPr>
        <w:pStyle w:val="ListBullet"/>
      </w:pPr>
      <w:r>
        <w:rPr>
          <w:rFonts w:ascii="Calibri" w:hAnsi="Calibri" w:eastAsia="Microsoft YaHei"/>
        </w:rPr>
        <w:t>90天执行：经授权的飞书审批与任务跟踪、MES计划摘要、班后复盘和停用条件验证。</w:t>
      </w:r>
    </w:p>
    <w:p>
      <w:pPr>
        <w:pStyle w:val="ListBullet"/>
      </w:pPr>
      <w:r>
        <w:rPr>
          <w:rFonts w:ascii="Calibri" w:hAnsi="Calibri" w:eastAsia="Microsoft YaHei"/>
        </w:rPr>
        <w:t>治理：DCS/SIS无写入路径、人工确认、版本审核和相对外售分配贡献核算。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[4] Aspen Technology. Aspen GDOT. https://www.aspentech.com/en/products/msc/aspen-gdot</w:t>
      </w:r>
    </w:p>
    <w:p>
      <w:r>
        <w:rPr>
          <w:rFonts w:ascii="Calibri" w:hAnsi="Calibri" w:eastAsia="Microsoft YaHei"/>
        </w:rPr>
        <w:t>[5]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[6]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[7]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[8]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