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决赛完整方案文档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云图控股合成氨命题 | 产供销全线联动数字调度长</w:t>
      </w:r>
    </w:p>
    <w:p>
      <w:pPr>
        <w:pStyle w:val="Heading1"/>
      </w:pPr>
      <w:r>
        <w:t>一、参赛方案信息卡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71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填写内容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队名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命题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如果来到全球领先的合成氨生产装置现场，如何用AI打造一个生产调度专家？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方案标题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氨智领航调控师：产供销全线联动数字调度长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一句话摘要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汇总订单、库存、生产历史、公用工程、设备和经营数据，在安全与连续生产约束下生成液氨分配、装置负荷、外采安排和停运评估建议，并通过飞书完成确认、跟踪和复盘。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成员介绍与分工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邓植斤：负责命题洞察、行业资料研读、系统架构、平台原型、飞书协同设计、提交材料与GitHub交付。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使用的飞书AI能力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已验证飞书Task v2与多维表格样例；互动卡片、审批和跨装置动作单门禁为原型；飞书智能问答、岗位身份映射与事件回传待授权。</w:t>
            </w:r>
          </w:p>
        </w:tc>
      </w:tr>
    </w:tbl>
    <w:p>
      <w:pPr>
        <w:pStyle w:val="Heading1"/>
      </w:pPr>
      <w:r>
        <w:t>二、方案成果展示</w:t>
      </w:r>
    </w:p>
    <w:p>
      <w:r>
        <w:rPr>
          <w:rFonts w:ascii="Calibri" w:hAnsi="Calibri" w:eastAsia="Microsoft YaHei"/>
        </w:rPr>
        <w:t>本方案已形成可本地打开的调控师工作台、样例数据、架构文档、飞书协同说明、操作手册和参考资料。工作台首先处理产供销协同，再辅助跨装置波动协调和设备趋势异常核对，班后记录经审核后进入案例库。</w:t>
      </w:r>
    </w:p>
    <w:p>
      <w:pPr>
        <w:pStyle w:val="Heading1"/>
      </w:pPr>
      <w:r>
        <w:t>三、命题场景与痛点</w:t>
      </w:r>
    </w:p>
    <w:p>
      <w:pPr>
        <w:pStyle w:val="ListBullet"/>
      </w:pPr>
      <w:r>
        <w:rPr>
          <w:rFonts w:ascii="Calibri" w:hAnsi="Calibri" w:eastAsia="Microsoft YaHei"/>
        </w:rPr>
        <w:t>产供销平衡难：液氨有限、下游需求、市场行情、能源波动和装置负荷同时变化，调度长需要跨系统人工汇总后再判断。</w:t>
      </w:r>
    </w:p>
    <w:p>
      <w:pPr>
        <w:pStyle w:val="ListBullet"/>
      </w:pPr>
      <w:r>
        <w:rPr>
          <w:rFonts w:ascii="Calibri" w:hAnsi="Calibri" w:eastAsia="Microsoft YaHei"/>
        </w:rPr>
        <w:t>跨装置协调难：下游需求、公用工程或能源条件变化时，DCS负责局部回路和联锁，班组仍需判断不同装置的负荷调整顺序。</w:t>
      </w:r>
    </w:p>
    <w:p>
      <w:pPr>
        <w:pStyle w:val="ListBullet"/>
      </w:pPr>
      <w:r>
        <w:rPr>
          <w:rFonts w:ascii="Calibri" w:hAnsi="Calibri" w:eastAsia="Microsoft YaHei"/>
        </w:rPr>
        <w:t>经验传承难：成熟调度长培养周期长，专家判断常沉淀在经验和口头交接中，未采纳原因没有被结构化利用。</w:t>
      </w:r>
    </w:p>
    <w:p>
      <w:pPr>
        <w:pStyle w:val="Heading2"/>
      </w:pPr>
      <w:r>
        <w:t>三（一）业务优先级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方向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解决的问题</w:t>
            </w:r>
          </w:p>
        </w:tc>
        <w:tc>
          <w:tcPr>
            <w:tcW w:type="dxa" w:w="201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Demo抓手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核心业务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产供销协同与跨装置负荷联动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给出液氨分配、装置负荷、外采安排和停运评估建议。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液氨去向重分配及硝酸、尿素、纯碱、复合肥、外售的相对外售分配贡献排序。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稳产辅助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跨装置波动协调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给出跨装置负荷调整顺序，并列出保持连续生产所需的边界。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下游降负荷后合成氨负荷、液氨库存和公用工程的联动节奏。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设备辅助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关键设备趋势异常提示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显示偏离变量、持续时间、核对点位、检查步骤和通知专业。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振动、轴位移、防喘振裕度、轴承温度和床层温升的趋势证据。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经验管理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经审核的调度案例与规则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按场景记录事实、判断、执行结果和适用条件，经专业人员审核后复用。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飞书多维表格复盘库、智能问答和新人场景训练清单。</w:t>
            </w:r>
          </w:p>
        </w:tc>
      </w:tr>
    </w:tbl>
    <w:p>
      <w:pPr>
        <w:pStyle w:val="Heading1"/>
      </w:pPr>
      <w:r>
        <w:t>四、方案设计与差异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不同于常规方案之处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产供销协同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液氨去向、下游需求、价格、公用工程和装置负荷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用统一口径比较候选分配方案。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跨装置协调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需求、能源、公用工程和库存变化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给出负荷调整顺序和连续生产边界。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约束与候选模型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机理硬约束、APC/RTO接口、MPC建议；PINN仅作待验证校准候选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先验证适用工况范围和退出条件，再进入旁路计算。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调度建议、班次调度事实表和撤销条件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将建议带入班前会、审批和MES计划摘要。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跨系统汇总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MES、IoT、生产历史数据库、APC、压机、热电和经营数据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记录每个判断使用的数据来源、时间和质量状态。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飞书协同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卡片、审批、多维表格、Task v2、智能问答和事件回传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按已验证、原型和待授权状态交付。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案例审核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采纳、驳回、偏差和外部影响记录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专业人员审核后再修订规则或纳入训练样本。</w:t>
            </w:r>
          </w:p>
        </w:tc>
      </w:tr>
    </w:tbl>
    <w:p>
      <w:pPr>
        <w:pStyle w:val="Heading1"/>
      </w:pPr>
      <w:r>
        <w:t>五、业务范围与落地价值</w:t>
      </w:r>
    </w:p>
    <w:p>
      <w:r>
        <w:rPr>
          <w:rFonts w:ascii="Calibri" w:hAnsi="Calibri" w:eastAsia="Microsoft YaHei"/>
        </w:rPr>
        <w:t>首批覆盖合成氨、液氨库存、尿素溶液、复合肥、联碱配套和液氨外售的协同调度。试点观察高优订单满足率、单位氨变动成本、液氨库存占用、调度用时、设备趋势提示提前量，以及相对外售分配贡献测算值与实际结果的偏差。</w:t>
      </w:r>
    </w:p>
    <w:p>
      <w:pPr>
        <w:pStyle w:val="Heading2"/>
      </w:pPr>
      <w:r>
        <w:t>五（一）全产业链贯通价值</w:t>
      </w:r>
    </w:p>
    <w:p>
      <w:r>
        <w:rPr>
          <w:rFonts w:ascii="Calibri" w:hAnsi="Calibri" w:eastAsia="Microsoft YaHei"/>
        </w:rPr>
        <w:t>班次调度信息分散在MES、IoT、生产历史数据库、APC、压机软件、热电平台和经营数据中。调度长需要逐项核对液氨去向、下游负荷、能源条件、设备状态和订单优先级。平台将这些信息汇入班次调度事实表，并记录判断依据、确认人和执行结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现场问题</w:t>
            </w:r>
          </w:p>
        </w:tc>
        <w:tc>
          <w:tcPr>
            <w:tcW w:type="dxa" w:w="432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平台处理</w:t>
            </w:r>
          </w:p>
        </w:tc>
        <w:tc>
          <w:tcPr>
            <w:tcW w:type="dxa" w:w="33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试点观察项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信息分散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汇总MES计划、生产历史数据、热电APC、公用工程、设备和市场信息。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查数用时和口径差异数量。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经验记录不完整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记录采纳、驳回、复盘结论和适用条件，授权后供飞书智能问答检索。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复盘完整率、新人场景判断准确率和用时。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跨线取舍复杂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在同一页面比较安全、连续生产、相对外售分配贡献和启停损失。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人工复核差异和决策用时。</w:t>
            </w:r>
          </w:p>
        </w:tc>
      </w:tr>
    </w:tbl>
    <w:p>
      <w:pPr>
        <w:pStyle w:val="Heading2"/>
      </w:pPr>
      <w:r>
        <w:t>五（二）边际贡献决策口径</w:t>
      </w:r>
    </w:p>
    <w:p>
      <w:r>
        <w:rPr>
          <w:rFonts w:ascii="Calibri" w:hAnsi="Calibri" w:eastAsia="Microsoft YaHei"/>
        </w:rPr>
        <w:t>平台采用可复算的增量口径比较液氨去向：产品净收入减非氨变动成本、包装物流、液氨机会成本和启停摊销，再加经财务确认的违约避免额。结果称为相对外售分配贡献测算值，不表示已实现收益；折旧和固定人工仅作管理解释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判断项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为什么重要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平台输出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边际贡献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判断该产品是否至少覆盖原料、蒸汽、电力、包装、物流等增量成本。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继续开、降负荷或转供其他产品的经济理由。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固定成本吸收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连续生产可能覆盖折旧、固定人工和装置维持费用。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单列解释，不计入增量贡献；是否继续生产仍由安全、连续与机会成本共同决定。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液氨机会成本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液氨有限时，供尿素、纯碱、硝酸、复合肥或外售的替代贡献不同。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相对外售分配贡献排序和产品结构建议。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停开成本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停车重启会产生废料、时间、人员和物料损失。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当边际贡献接近零时，给出继续运行或停产的取舍依据。</w:t>
            </w:r>
          </w:p>
        </w:tc>
      </w:tr>
    </w:tbl>
    <w:p>
      <w:pPr>
        <w:pStyle w:val="Heading2"/>
      </w:pPr>
      <w:r>
        <w:t>五（三）跨装置调度的三条底线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底线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现场含义</w:t>
            </w:r>
          </w:p>
        </w:tc>
        <w:tc>
          <w:tcPr>
            <w:tcW w:type="dxa" w:w="38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平台处理方式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安全第一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任何经营目标都不能突破安环限值、DCS/SIS联锁边界和关键设备保护。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数据不完整、输入超出适用工况范围或限值接近时，停止给出可执行建议并转人工处理。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流程不中断第二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连续流程一旦中断，重启耗时长、废料多、人员和物料损失高，尤其涉及气区和气轮机驱动系统。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识别上下游异常后先做跨装置负荷联动，评估是否能通过液氨分配、下游降负荷或能源错峰吸收波动。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特殊情况再取舍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确需中断时，不是简单停哪套装置，而是比较空分、合成气轮机驱动系统和下游装置的总损失。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把重启时间、废料和影响范围纳入排序；口述案例不固化为通用规则，最终由班长、调度主管和相关专业会签。</w:t>
            </w:r>
          </w:p>
        </w:tc>
      </w:tr>
    </w:tbl>
    <w:p>
      <w:pPr>
        <w:pStyle w:val="Heading2"/>
      </w:pPr>
      <w:r>
        <w:t>五（四）现有系统接入假设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系统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在现场承担的作用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本方案调用方式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MES/合成氨调控平台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日计划、班次执行、负荷调整记录和交接复盘。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审批通过后写计划摘要、交接说明和复盘结果。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IoT平台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采集合成氨DCS底层过程数据。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作为班次调度事实表的只读数据源。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合成氨DCS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合成氨主装置局部回路控制、顺控、报警和联锁。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通过生产历史数据库或只读接口获取摘要，不直接写控制参数。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和利时DCS/热电APC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热电、公用工程和蒸汽管网控制与优化。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读取约束余量、能耗条件和APC结果，用于跨装置协调。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SMC压机软件/康迪森机组数据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压缩机、气轮机驱动系统和关键机组状态监测。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用于设备趋势异常提示和停运评估。</w:t>
            </w:r>
          </w:p>
        </w:tc>
      </w:tr>
    </w:tbl>
    <w:p>
      <w:r>
        <w:rPr>
          <w:rFonts w:ascii="Calibri" w:hAnsi="Calibri" w:eastAsia="Microsoft YaHei"/>
        </w:rPr>
        <w:t>上述系统名称来自企业访谈记录，厂商及点位清单在企业试点前需由信息化、生产、设备和热电专业共同确认。</w:t>
      </w:r>
    </w:p>
    <w:p>
      <w:pPr>
        <w:pStyle w:val="Heading1"/>
      </w:pPr>
      <w:r>
        <w:t>六、飞书功能接入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业务动作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需要授权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推送目标负荷、处置状态、触发字段和确认按钮。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机器人发消息、目标群可见权限。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设备、公辅、库存等登记条件成立时创建专业会签实例。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approval_code、审批API权限、审批人范围。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写入班次事实、采纳结果、未采纳原因、复盘结论。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目标表格协作者权限和记录读写权限。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飞书智能问答（Aily）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调度员追问方案依据和异常处置步骤。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知识源、问答权限和人工确认约束。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事件回传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接收卡片点击、审批通过或驳回、复盘提交。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事件订阅、回调地址和签名校验。</w:t>
            </w:r>
          </w:p>
        </w:tc>
      </w:tr>
    </w:tbl>
    <w:p>
      <w:r>
        <w:rPr>
          <w:rFonts w:ascii="Calibri" w:hAnsi="Calibri" w:eastAsia="Microsoft YaHei"/>
        </w:rPr>
        <w:t>飞书交付状态分为三类。已验证：在线方案稿 https://www.feishu.cn/docx/AYyad50itooOPxxZpQacgSqIn2c、多维表格样例库 https://www.feishu.cn/base/QzENbAkl1aYQGds8dBacqu6Inue、Task v2任务清单 https://applink.feishu.cn/client/todo/task_list?guid=2ab6c357-dfeb-4f75-9aa3-781dc7ac7244 和验收任务 https://applink.feishu.cn/client/todo/detail?guid=44631b59-b834-47b1-a413-b751f2f291da&amp;suite_entity_num=t136777。原型：互动卡片、审批状态机、跨装置动作单门禁和事件回传字段契约。待授权：目标群机器人、审批定义、四岗位身份映射、Aily知识源、事件订阅及MES和生产历史数据库接口。</w:t>
      </w:r>
    </w:p>
    <w:p>
      <w:pPr>
        <w:pStyle w:val="Heading2"/>
      </w:pPr>
      <w:r>
        <w:t>六（一）飞书模块对命题三大挑战的支撑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命题挑战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飞书模块支撑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形成的企业资产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授权后，飞书智能问答检索班次事实、历史方案和未采纳原因；事件回传把执行结果送入待审核案例库。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可检索的调度案例、异常处置和候选校准样本。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互动卡片把方案送到当班群，明确条件触发对应专业会签，任务监督跟踪执行与复盘。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确认人、会签人、执行人、截止时间和关闭结果的责任链。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多维表格记录班次事实、未采纳原因、班长备注、执行偏差和外部影响；Aily授权后从审核知识源回答。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带来源、审核人、适用条件和版本的班次案例。</w:t>
            </w:r>
          </w:p>
        </w:tc>
      </w:tr>
    </w:tbl>
    <w:p>
      <w:pPr>
        <w:pStyle w:val="Heading1"/>
      </w:pPr>
      <w:r>
        <w:t>七、落地验证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30天：校核订单导出、MES班次计划、罐区历史摘要和飞书协同记录四类离线或只读数据。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60天：扩展生产历史数据库、设备和公用工程只读数据，开展旁路回放和人工方案对照。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90天：覆盖不少于30个有效班次及产供销重排、公辅波动吸收、设备趋势复核三类场景；核对硬约束、可复算性、执行偏差和停用条件。</w:t>
      </w:r>
    </w:p>
    <w:p>
      <w:pPr>
        <w:pStyle w:val="Heading2"/>
      </w:pPr>
      <w:r>
        <w:t>七（一）条件处置与预登记目标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处置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明确条件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系统动作</w:t>
            </w:r>
          </w:p>
        </w:tc>
        <w:tc>
          <w:tcPr>
            <w:tcW w:type="dxa" w:w="11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责任岗位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一般提示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数据有效，且未命中专业会签条件或演练停算线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显示具体偏差、持续时间和核对事项；不自动创建审批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相关专业会签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设备趋势达到specialist_review条件，公辅余量异常或失效，库存接近确认边界，或其他已登记条件成立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显示触发字段、时间窗、质量状态和规则版本，通知对应专业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设备、公辅、罐区或工艺专业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演练停算线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趋势回放标记stop_new_recommendation_demo，或接口矩阵登记的停算条件成立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停止新目标、经济排序、动作单和审批；维持最近批准方案并转现场规程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现场指挥链与对应专业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94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指标</w:t>
            </w:r>
          </w:p>
        </w:tc>
        <w:tc>
          <w:tcPr>
            <w:tcW w:type="dxa" w:w="58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定义稿口径</w:t>
            </w:r>
          </w:p>
        </w:tc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数据可用率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新鲜度窗口内且质量状态合格的必需记录数 / 应到必需记录数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不低于98%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物料平衡残差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|期初可用量+期间产量+外采-各去向-期末可用量| / (期初可用量+期间产量+外采)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不高于1.5%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快照重算P95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合格输入快照冻结至方案、约束证据和测算明细生成完成的95分位耗时，不含人工确认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不高于120秒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调度决策中位耗时缩短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1-试点同类场景决策中位耗时/基线中位耗时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不低于30%</w:t>
            </w:r>
          </w:p>
        </w:tc>
      </w:tr>
    </w:tbl>
    <w:p>
      <w:r>
        <w:rPr>
          <w:rFonts w:ascii="Calibri" w:hAnsi="Calibri" w:eastAsia="Microsoft YaHei"/>
        </w:rPr>
        <w:t>四项指标是试点定义稿，不表示当前已达成；30天数据校核后由企业冻结字段范围、分母、时间起止点、基线期和排除项。</w:t>
      </w:r>
    </w:p>
    <w:p>
      <w:pPr>
        <w:pStyle w:val="Heading1"/>
      </w:pPr>
      <w:r>
        <w:t>八、方案体验入口与演示说明</w:t>
      </w:r>
    </w:p>
    <w:p>
      <w:r>
        <w:rPr>
          <w:rFonts w:ascii="Calibri" w:hAnsi="Calibri" w:eastAsia="Microsoft YaHei"/>
        </w:rPr>
        <w:t>体验入口：本地打开 D:\云图-合成氨-邓植斤\index.html，或访问 GitHub 仓库 https://github.com/zhijinDeng/synthesis-ammonia 查看完整静态平台、数据模型和提交材料。</w:t>
      </w:r>
    </w:p>
    <w:p>
      <w:r>
        <w:rPr>
          <w:rFonts w:ascii="Calibri" w:hAnsi="Calibri" w:eastAsia="Microsoft YaHei"/>
        </w:rPr>
        <w:t>演示中的价格、库存、负荷和设备趋势均为场景样例，不代表企业实时数据。现场数据、阈值、责任人和财务口径需在企业授权后确认。</w:t>
      </w:r>
    </w:p>
    <w:p>
      <w:pPr>
        <w:pStyle w:val="Heading2"/>
      </w:pPr>
      <w:r>
        <w:t>八（一）五分钟演示脚本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1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时间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页面动作</w:t>
            </w:r>
          </w:p>
        </w:tc>
        <w:tc>
          <w:tcPr>
            <w:tcW w:type="dxa" w:w="410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讲述要点</w:t>
            </w:r>
          </w:p>
        </w:tc>
        <w:tc>
          <w:tcPr>
            <w:tcW w:type="dxa" w:w="21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当场证据</w:t>
            </w:r>
          </w:p>
        </w:tc>
      </w:tr>
      <w:tr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0:00-0:35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总览与当班工作区</w:t>
            </w:r>
          </w:p>
        </w:tc>
        <w:tc>
          <w:tcPr>
            <w:tcW w:type="dxa" w:w="41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先说明安全、连续生产和经济比较的顺序，明确平台位于生产运行管理层。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系统边界、当班状态、数据质量状态</w:t>
            </w:r>
          </w:p>
        </w:tc>
      </w:tr>
      <w:tr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0:35-1:15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行情核价与班次事实</w:t>
            </w:r>
          </w:p>
        </w:tc>
        <w:tc>
          <w:tcPr>
            <w:tcW w:type="dxa" w:w="41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说明未经经营确认的行情不进入新方案，每个输入保留来源、时间、单位和质量状态。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行情版本、确认状态、证据完整度</w:t>
            </w:r>
          </w:p>
        </w:tc>
      </w:tr>
      <w:tr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1:15-2:10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24小时平衡与方案比较</w:t>
            </w:r>
          </w:p>
        </w:tc>
        <w:tc>
          <w:tcPr>
            <w:tcW w:type="dxa" w:w="41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先核对液氨守恒和安全库存，再比较各去向；经济指标不表述为已实现收益。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物料平衡、候选方案、逐项贡献账本</w:t>
            </w:r>
          </w:p>
        </w:tc>
      </w:tr>
      <w:tr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2:10-2:55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设备趋势处置</w:t>
            </w:r>
          </w:p>
        </w:tc>
        <w:tc>
          <w:tcPr>
            <w:tcW w:type="dxa" w:w="41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展示具体变量、持续时间和检查项；达到specialist_review条件时通知设备专业会签。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趋势回放样例、触发字段、检查清单</w:t>
            </w:r>
          </w:p>
        </w:tc>
      </w:tr>
      <w:tr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2:55-3:50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条件处置与飞书闭环</w:t>
            </w:r>
          </w:p>
        </w:tc>
        <w:tc>
          <w:tcPr>
            <w:tcW w:type="dxa" w:w="41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一般提示不自动升级；明确条件触发专业会签；演练停算线停止新目标、经济排序、动作单和审批。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处置状态、触发条件、会签对象、停算动作</w:t>
            </w:r>
          </w:p>
        </w:tc>
      </w:tr>
      <w:tr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3:50-4:35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执行跟踪与班后复盘</w:t>
            </w:r>
          </w:p>
        </w:tc>
        <w:tc>
          <w:tcPr>
            <w:tcW w:type="dxa" w:w="41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四岗位全部接令后才进入执行跟踪；接令不等于执行，无Historian回传时实际值为空。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动作单版本、回传状态、执行偏差、审核状态</w:t>
            </w:r>
          </w:p>
        </w:tc>
      </w:tr>
      <w:tr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4:35-5:00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试点与验收</w:t>
            </w:r>
          </w:p>
        </w:tc>
        <w:tc>
          <w:tcPr>
            <w:tcW w:type="dxa" w:w="41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说明30/60/90天范围、有效班次定义和必过项，再说明效果观察指标。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数据清单、验收口径、停用条件</w:t>
            </w:r>
          </w:p>
        </w:tc>
      </w:tr>
    </w:tbl>
    <w:p>
      <w:pPr>
        <w:pStyle w:val="Heading2"/>
      </w:pPr>
      <w:r>
        <w:t>八（二）典型班次证据链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3"/>
        <w:gridCol w:w="1953"/>
        <w:gridCol w:w="1953"/>
        <w:gridCol w:w="1953"/>
        <w:gridCol w:w="1953"/>
      </w:tblGrid>
      <w:tr>
        <w:tc>
          <w:tcPr>
            <w:tcW w:type="dxa" w:w="7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编号</w:t>
            </w:r>
          </w:p>
        </w:tc>
        <w:tc>
          <w:tcPr>
            <w:tcW w:type="dxa" w:w="34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证据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责任岗位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保存位置</w:t>
            </w:r>
          </w:p>
        </w:tc>
        <w:tc>
          <w:tcPr>
            <w:tcW w:type="dxa" w:w="13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状态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E01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原班次计划、触发时间和输入快照哈希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班次调度事实表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原型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E02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订单、MES计划、罐区摘要、行情确认和数据质量状态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经营、生产、罐区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班次调度事实表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样例已形成；企业数据待授权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E03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物料守恒、安全库存、公辅余量、设备趋势和条件路由结果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生产、设备、安环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约束校核记录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原型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E04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原计划、候选方案、有效期、撤销条件和贡献账本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调度员、财务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方案版本与测算明细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原型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E05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班长确认，以及命中明确条件时对应专业的会签或退回意见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班长、调度主管、对应专业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飞书审批记录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状态机为原型；审批定义待授权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E06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动作单版本、四岗位接令人、接令时间、回复和异常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四岗位主操/调度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Task v2与动作单记录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普通任务已验证；自动拆单为原型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E07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Historian回传的实际负荷、库存、能耗和执行偏差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生产、信息化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执行跟踪记录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待授权；接令不作实际值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E08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未采纳原因、归因、适用条件、审核人和规则版本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生产、设备、安环、经营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Base待审核案例库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样例库已验证；审核流程为原型</w:t>
            </w:r>
          </w:p>
        </w:tc>
      </w:tr>
    </w:tbl>
    <w:p>
      <w:r>
        <w:rPr>
          <w:rFonts w:ascii="Calibri" w:hAnsi="Calibri" w:eastAsia="Microsoft YaHei"/>
        </w:rPr>
        <w:t>典型场景用于演示液氨库存趋紧、下游需求分化与设备趋势偏离时的跨系统判断，不作为云图现场工况结论。E06四岗位未全部接令时不得进入执行跟踪，E07缺失时不得填写实际效果。</w:t>
      </w:r>
    </w:p>
    <w:p>
      <w:pPr>
        <w:pStyle w:val="Heading2"/>
      </w:pPr>
      <w:r>
        <w:t>八（三）跨装置调度动作单</w:t>
      </w:r>
    </w:p>
    <w:p>
      <w:r>
        <w:rPr>
          <w:rFonts w:ascii="Calibri" w:hAnsi="Calibri" w:eastAsia="Microsoft YaHei"/>
        </w:rPr>
        <w:t>审批通过后生成跨装置调度动作单，由合成主操、硝酸主操、罐区/调度和公辅调度分别接令。四个岗位全部接令后才可进入执行跟踪；接令只表示收到有效方案并确认责任，不表示现场已经执行。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接令岗位</w:t>
            </w:r>
          </w:p>
        </w:tc>
        <w:tc>
          <w:tcPr>
            <w:tcW w:type="dxa" w:w="302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接令时核对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接令后的责任</w:t>
            </w:r>
          </w:p>
        </w:tc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退回处理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合成主操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目标负荷、升降负荷节奏、保持条件和撤销条件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确认收到有效版本，按现行操作票组织执行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保留原计划并反馈不可执行原因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硝酸主操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下游目标负荷、耗氨窗口、缓冲能力和恢复条件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确认下游承接节奏与现场条件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退回调度重算液氨去向与负荷方案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罐区/调度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液氨库存、收发安排、安全库存和物流窗口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确认库存与收发计划能够支撑动作单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标记冲突并冻结执行跟踪入口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公辅调度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蒸汽、电力、空分、循环水等余量和时间窗口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确认公辅条件满足动作单要求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返回受限时段和可用窗口，重新排程</w:t>
            </w:r>
          </w:p>
        </w:tc>
      </w:tr>
    </w:tbl>
    <w:p>
      <w:r>
        <w:rPr>
          <w:rFonts w:ascii="Calibri" w:hAnsi="Calibri" w:eastAsia="Microsoft YaHei"/>
        </w:rPr>
        <w:t>动作单以班次编号、方案版本和岗位标识唯一记录接令人、接令时间、回复、异常和有效期。审批状态机与动作单门禁为原型，Task v2普通任务写入已验证；自动拆单、岗位身份映射和事件汇总待授权。实际负荷、库存和能耗只接受Historian或企业认可的只读事实源回传，无回传时保持为空。</w:t>
      </w:r>
    </w:p>
    <w:p>
      <w:pPr>
        <w:pStyle w:val="Heading2"/>
      </w:pPr>
      <w:r>
        <w:t>八（四）评委追问及事实回答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25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追问</w:t>
            </w:r>
          </w:p>
        </w:tc>
        <w:tc>
          <w:tcPr>
            <w:tcW w:type="dxa" w:w="662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事实回答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与普通看板有什么区别？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平台不只展示状态，还保存原计划、输入快照、约束校核、候选方案、人工确认、执行回传和班后复盘，使每条建议可追溯。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为什么不直接控制DCS？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DCS、SIS、APC和设备保护承担控制与保护。本平台处理班次级跨装置决策，审批后最多写MES计划摘要、交接说明和复盘记录。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哪些飞书能力已经做通？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已验证在线方案稿、Base样例库、Task v2任务清单和任务t136777；卡片、审批状态机和事件契约为原型；Aily、目标群和企业接口待授权。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没有实时数据如何证明有效？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当前验证业务流程、计算口径、控制边界和可追溯性。现场效果要经过数据校核、旁路回放和条件受控执行验证后计算。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经济指标为什么不是节约金额？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演示值用于比较液氨去向。只有建议被采纳、实际执行并完成归因后，才进入试点效果统计。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如何防止错误建议？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关键字段缺失、数据过期、口径冲突、超出适用工况或接近安全设备限值时，平台保留原计划并转人工复核。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审批是否由汇总分数决定？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不是。一般提示、专业会签和演练停算线分别由具体字段、时间窗、质量状态和规则版本决定；停算时不生成新审批。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系统怎样学习而不越学越错？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班后案例须经生产、设备、安环和经营专业审核后才可修订规则或纳入训练样本，单个班次不自动改变生产规则。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与MES、APC和RTO是什么关系？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MES承接计划和记录，APC处理装置内先进控制，RTO负责授权范围内的经济优化；本平台组织跨装置班次事实、方案比较和人工确认。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90天怎样验收？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先通过安全、数据真实性、可复算和审批合规等必过项，再覆盖不少于30个有效班次和三类场景，比较双方确认的观察指标。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最先需要企业提供什么？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首批只需订单导出、MES班次计划、罐区历史摘要和飞书协同记录，并由相关专业确认字段口径、时间戳、单位和更新频率。</w:t>
            </w:r>
          </w:p>
        </w:tc>
      </w:tr>
    </w:tbl>
    <w:p>
      <w:pPr>
        <w:pStyle w:val="Heading2"/>
      </w:pPr>
      <w:r>
        <w:t>八（五）试点数据与验收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3"/>
        <w:gridCol w:w="1953"/>
        <w:gridCol w:w="1953"/>
        <w:gridCol w:w="1953"/>
        <w:gridCol w:w="1953"/>
      </w:tblGrid>
      <w:tr>
        <w:tc>
          <w:tcPr>
            <w:tcW w:type="dxa" w:w="93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阶段</w:t>
            </w:r>
          </w:p>
        </w:tc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数据域</w:t>
            </w:r>
          </w:p>
        </w:tc>
        <w:tc>
          <w:tcPr>
            <w:tcW w:type="dxa" w:w="40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最小字段</w:t>
            </w:r>
          </w:p>
        </w:tc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责任专业</w:t>
            </w:r>
          </w:p>
        </w:tc>
        <w:tc>
          <w:tcPr>
            <w:tcW w:type="dxa" w:w="13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状态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订单与经营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产品、数量、交期、优先级、价格版本、确认人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经营、销售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离线导出校核，待授权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MES班次计划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班次、装置、原计划负荷、目标产量、计划版本、变更原因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生产、调度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离线导出校核，待授权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罐区历史摘要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期初量、收发量、期末量、安全库存、单位、质量状态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罐区、计量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历史摘要校核，待授权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飞书协同记录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建议编号、确认人、负责人、截止时间、状态、未采纳原因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调度、班组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Task v2和Base样例已验证；自动链路为原型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生产历史数据库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合成氨负荷、液氨产量与库存、下游耗氨量、关键温压流、质量码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生产、信息化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只读接入待授权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公辅与能源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蒸汽、电力、燃料、空分与管网余量、约束状态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热电、公辅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只读接入待授权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关键设备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振动、轴位移、防喘振裕度、轴承温度、机组状态、检修记录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设备、仪表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只读接入待授权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财务测算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非氨变动成本、包装物流、启停损失、机会成本、违约避免额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财务、经营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口径待企业确认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237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仓库样例</w:t>
            </w:r>
          </w:p>
        </w:tc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用途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关键字段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使用边界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data/compressor_trend_replay_sample.csv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压缩机趋势回放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负荷、轴振、轴位移、防喘振裕度、轴承温度、质量码和复核标签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仅验证观察、专业会签和演练停算流程；不作为企业设备阈值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data/interface_field_matrix.csv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接口字段矩阵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阶段、来源系统、字段、方向、频率、时间基准、质量规则、单位、责任专业和超时动作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字段与动作是定义稿，30天校核后由企业冻结</w:t>
            </w:r>
          </w:p>
        </w:tc>
      </w:tr>
    </w:tbl>
    <w:p>
      <w:r>
        <w:rPr>
          <w:rFonts w:ascii="Calibri" w:hAnsi="Calibri" w:eastAsia="Microsoft YaHei"/>
        </w:rPr>
        <w:t>有效班次须同时具备冻结的原计划、合格输入、可追溯建议、完整人工确认、Historian实际回传和班后复盘。未执行方案可用于流程验收，但不进入效果统计。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验收项</w:t>
            </w:r>
          </w:p>
        </w:tc>
        <w:tc>
          <w:tcPr>
            <w:tcW w:type="dxa" w:w="626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口径</w:t>
            </w:r>
          </w:p>
        </w:tc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判定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安全边界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安全硬约束零突破；不存在DCS/SIS写入路径，不替代报警、联锁、操作票和现场确认。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数据真实性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关键字段缺失、过期或质量无效时转人工；无生产历史数据库回传时实际值为空。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可复算性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液氨物料守恒、相对外售分配贡献和方案排序可按同一输入快照复算。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条件处置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一般提示、专业会签和演练停算线可追到字段、时间窗、质量状态和规则版本；审批不由汇总分数驱动。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动作单门禁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审批后四岗位分别接令，未全部接令不得进入执行跟踪；接令状态不得填入实际执行字段。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场景覆盖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90天不少于30个有效班次，覆盖产供销重排、公辅波动吸收和设备趋势复核。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效果观察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按双方冻结口径比较数据完整率、调度用时、订单满足率、库存偏差、单位氨变动成本和提示提前量。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基线确认后评价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94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指标</w:t>
            </w:r>
          </w:p>
        </w:tc>
        <w:tc>
          <w:tcPr>
            <w:tcW w:type="dxa" w:w="58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定义稿口径</w:t>
            </w:r>
          </w:p>
        </w:tc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数据可用率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新鲜度窗口内且质量状态合格的必需记录数 / 应到必需记录数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不低于98%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物料平衡残差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|期初可用量+期间产量+外采-各去向-期末可用量| / (期初可用量+期间产量+外采)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不高于1.5%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快照重算P95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合格输入快照冻结至方案、约束证据和测算明细生成完成的95分位耗时，不含人工确认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不高于120秒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调度决策中位耗时缩短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1-试点同类场景决策中位耗时/基线中位耗时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不低于30%</w:t>
            </w:r>
          </w:p>
        </w:tc>
      </w:tr>
    </w:tbl>
    <w:p>
      <w:pPr>
        <w:pStyle w:val="Heading1"/>
      </w:pPr>
      <w:r>
        <w:t>九、自由展示区</w:t>
      </w:r>
    </w:p>
    <w:p>
      <w:pPr>
        <w:pStyle w:val="ListBullet"/>
      </w:pPr>
      <w:r>
        <w:rPr>
          <w:rFonts w:ascii="Calibri" w:hAnsi="Calibri" w:eastAsia="Microsoft YaHei"/>
        </w:rPr>
        <w:t>项目已形成可交互页面、可复现生成脚本、数据模型、Word提交材料和GitHub开放仓库。</w:t>
      </w:r>
    </w:p>
    <w:p>
      <w:pPr>
        <w:pStyle w:val="ListBullet"/>
      </w:pPr>
      <w:r>
        <w:rPr>
          <w:rFonts w:ascii="Calibri" w:hAnsi="Calibri" w:eastAsia="Microsoft YaHei"/>
        </w:rPr>
        <w:t>材料使用班组可核对的业务对象、数据来源和操作边界描述平台能力。</w:t>
      </w:r>
    </w:p>
    <w:p>
      <w:pPr>
        <w:pStyle w:val="ListBullet"/>
      </w:pPr>
      <w:r>
        <w:rPr>
          <w:rFonts w:ascii="Calibri" w:hAnsi="Calibri" w:eastAsia="Microsoft YaHei"/>
        </w:rPr>
        <w:t>交付状态按已验证、原型和待授权三类标识，生产效果以试点数据为准。</w:t>
      </w:r>
    </w:p>
    <w:p>
      <w:pPr>
        <w:pStyle w:val="Heading1"/>
      </w:pPr>
      <w:r>
        <w:t>十、附录</w:t>
      </w:r>
    </w:p>
    <w:p>
      <w:pPr>
        <w:pStyle w:val="ListBullet"/>
      </w:pPr>
      <w:r>
        <w:rPr>
          <w:rFonts w:ascii="Calibri" w:hAnsi="Calibri" w:eastAsia="Microsoft YaHei"/>
        </w:rPr>
        <w:t>附录A：参考文献与数据依据见 04_参考文献与数据依据.docx。</w:t>
      </w:r>
    </w:p>
    <w:p>
      <w:pPr>
        <w:pStyle w:val="ListBullet"/>
      </w:pPr>
      <w:r>
        <w:rPr>
          <w:rFonts w:ascii="Calibri" w:hAnsi="Calibri" w:eastAsia="Microsoft YaHei"/>
        </w:rPr>
        <w:t>附录B：调控师班组使用流程见 03_调控师操作手册.docx。</w:t>
      </w:r>
    </w:p>
    <w:p>
      <w:pPr>
        <w:pStyle w:val="ListBullet"/>
      </w:pPr>
      <w:r>
        <w:rPr>
          <w:rFonts w:ascii="Calibri" w:hAnsi="Calibri" w:eastAsia="Microsoft YaHei"/>
        </w:rPr>
        <w:t>附录C：飞书真实接入需企业自建应用、审批定义、多维表格权限和事件回调配置。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[2]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[3]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[4]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[5]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[6] International Society of Automation. ISA-95 Series of Standards: Enterprise-Control System Integration. https://www.isa.org/standards-and-publications/isa-standards/isa-95-standard</w:t>
      </w:r>
    </w:p>
    <w:p>
      <w:r>
        <w:rPr>
          <w:rFonts w:ascii="Calibri" w:hAnsi="Calibri" w:eastAsia="Microsoft YaHei"/>
        </w:rPr>
        <w:t>[7] Aspen Technology. Aspen GDOT. https://www.aspentech.com/en/products/msc/aspen-gdot</w:t>
      </w:r>
    </w:p>
    <w:p>
      <w:r>
        <w:rPr>
          <w:rFonts w:ascii="Calibri" w:hAnsi="Calibri" w:eastAsia="Microsoft YaHei"/>
        </w:rPr>
        <w:t>[8] Honeywell. Honeywell Forge Performance+ for Industrials | Production Intelligence. https://process.honeywell.com/us/en/products/industrial-software/operational-excellence/honeywell-forge-production-intelligence</w:t>
      </w:r>
    </w:p>
    <w:p>
      <w:r>
        <w:rPr>
          <w:rFonts w:ascii="Calibri" w:hAnsi="Calibri" w:eastAsia="Microsoft YaHei"/>
        </w:rPr>
        <w:t>[9] International Society of Automation. ISA-18 Series of Standards. https://www.isa.org/standards-and-publications/isa-standards/isa-18-series-of-standards</w:t>
      </w:r>
    </w:p>
    <w:p>
      <w:r>
        <w:rPr>
          <w:rFonts w:ascii="Calibri" w:hAnsi="Calibri" w:eastAsia="Microsoft YaHei"/>
        </w:rPr>
        <w:t>[10] 飞书开放平台. 任务概述（Task v2）. https://open.feishu.cn/document/task-v2/overview</w:t>
      </w:r>
    </w:p>
    <w:p>
      <w:r>
        <w:rPr>
          <w:rFonts w:ascii="Calibri" w:hAnsi="Calibri" w:eastAsia="Microsoft YaHei"/>
        </w:rPr>
        <w:t>[11] 飞书开放平台. 开放平台概述（含飞书智能伙伴搭建平台Aily）. https://open.feishu.cn/document/client-docs/intro?lang=zh-CN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