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Calibri" w:hAnsi="Calibri" w:eastAsia="Microsoft YaHei"/>
          <w:b/>
          <w:color w:val="0D1F30"/>
          <w:sz w:val="42"/>
        </w:rPr>
        <w:t>决赛演示与验收附件</w:t>
      </w:r>
    </w:p>
    <w:p>
      <w:pPr>
        <w:spacing w:after="300"/>
        <w:jc w:val="center"/>
      </w:pPr>
      <w:r>
        <w:rPr>
          <w:rFonts w:ascii="Calibri" w:hAnsi="Calibri" w:eastAsia="Microsoft YaHei"/>
          <w:color w:val="5A6976"/>
          <w:sz w:val="21"/>
        </w:rPr>
        <w:t>五分钟演示、典型班次证据链、答辩口径与试点数据清单</w:t>
      </w:r>
    </w:p>
    <w:p>
      <w:pPr>
        <w:pStyle w:val="Heading1"/>
      </w:pPr>
      <w:r>
        <w:t>1. 交付状态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82"/>
        <w:gridCol w:w="4882"/>
      </w:tblGrid>
      <w:tr>
        <w:tc>
          <w:tcPr>
            <w:tcW w:type="dxa" w:w="1656"/>
            <w:shd w:fill="EAF2F8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b/>
              </w:rPr>
              <w:t>状态</w:t>
            </w:r>
          </w:p>
        </w:tc>
        <w:tc>
          <w:tcPr>
            <w:tcW w:type="dxa" w:w="7560"/>
            <w:shd w:fill="EAF2F8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b/>
              </w:rPr>
              <w:t>当前内容</w:t>
            </w:r>
          </w:p>
        </w:tc>
      </w:tr>
      <w:tr>
        <w:tc>
          <w:tcPr>
            <w:tcW w:type="dxa" w:w="1656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已验证</w:t>
            </w:r>
          </w:p>
        </w:tc>
        <w:tc>
          <w:tcPr>
            <w:tcW w:type="dxa" w:w="756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本地交互工作台、飞书在线方案稿、多维表格样例库、Task v2任务清单和验收任务t136777。</w:t>
            </w:r>
          </w:p>
        </w:tc>
      </w:tr>
      <w:tr>
        <w:tc>
          <w:tcPr>
            <w:tcW w:type="dxa" w:w="1656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原型</w:t>
            </w:r>
          </w:p>
        </w:tc>
        <w:tc>
          <w:tcPr>
            <w:tcW w:type="dxa" w:w="756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互动卡片、负荷调整审批状态机、典型班次证据链、事件回传字段契约和班后案例审核流程。</w:t>
            </w:r>
          </w:p>
        </w:tc>
      </w:tr>
      <w:tr>
        <w:tc>
          <w:tcPr>
            <w:tcW w:type="dxa" w:w="1656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待授权</w:t>
            </w:r>
          </w:p>
        </w:tc>
        <w:tc>
          <w:tcPr>
            <w:tcW w:type="dxa" w:w="756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目标调度群机器人、审批定义、Aily知识源、事件订阅，以及ERP、MES、生产历史数据库、APC、设备和公用工程接口。</w:t>
            </w:r>
          </w:p>
        </w:tc>
      </w:tr>
    </w:tbl>
    <w:p>
      <w:r>
        <w:rPr>
          <w:rFonts w:ascii="Calibri" w:hAnsi="Calibri" w:eastAsia="Microsoft YaHei"/>
        </w:rPr>
        <w:t>演示中的价格、库存、负荷和设备趋势均为场景样例，不代表企业实时数据；现场数据、阈值、责任人和财务口径需在企业授权后确认。</w:t>
      </w:r>
    </w:p>
    <w:p>
      <w:pPr>
        <w:pStyle w:val="Heading1"/>
      </w:pPr>
      <w:r>
        <w:t>2. 五分钟决赛演示脚本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41"/>
        <w:gridCol w:w="2441"/>
        <w:gridCol w:w="2441"/>
        <w:gridCol w:w="2441"/>
      </w:tblGrid>
      <w:tr>
        <w:tc>
          <w:tcPr>
            <w:tcW w:type="dxa" w:w="1152"/>
            <w:shd w:fill="EAF2F8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b/>
              </w:rPr>
              <w:t>时间</w:t>
            </w:r>
          </w:p>
        </w:tc>
        <w:tc>
          <w:tcPr>
            <w:tcW w:type="dxa" w:w="1800"/>
            <w:shd w:fill="EAF2F8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b/>
              </w:rPr>
              <w:t>页面动作</w:t>
            </w:r>
          </w:p>
        </w:tc>
        <w:tc>
          <w:tcPr>
            <w:tcW w:type="dxa" w:w="4104"/>
            <w:shd w:fill="EAF2F8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b/>
              </w:rPr>
              <w:t>讲述要点</w:t>
            </w:r>
          </w:p>
        </w:tc>
        <w:tc>
          <w:tcPr>
            <w:tcW w:type="dxa" w:w="2160"/>
            <w:shd w:fill="EAF2F8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b/>
              </w:rPr>
              <w:t>当场证据</w:t>
            </w:r>
          </w:p>
        </w:tc>
      </w:tr>
      <w:tr>
        <w:tc>
          <w:tcPr>
            <w:tcW w:type="dxa" w:w="1152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0:00-0:35</w:t>
            </w:r>
          </w:p>
        </w:tc>
        <w:tc>
          <w:tcPr>
            <w:tcW w:type="dxa" w:w="18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总览与当班工作区</w:t>
            </w:r>
          </w:p>
        </w:tc>
        <w:tc>
          <w:tcPr>
            <w:tcW w:type="dxa" w:w="4104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先说明安全、连续生产和经济比较的顺序，明确平台位于生产运行管理层。</w:t>
            </w:r>
          </w:p>
        </w:tc>
        <w:tc>
          <w:tcPr>
            <w:tcW w:type="dxa" w:w="216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系统边界、当班状态、数据质量状态</w:t>
            </w:r>
          </w:p>
        </w:tc>
      </w:tr>
      <w:tr>
        <w:tc>
          <w:tcPr>
            <w:tcW w:type="dxa" w:w="1152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0:35-1:15</w:t>
            </w:r>
          </w:p>
        </w:tc>
        <w:tc>
          <w:tcPr>
            <w:tcW w:type="dxa" w:w="18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行情核价与班次事实</w:t>
            </w:r>
          </w:p>
        </w:tc>
        <w:tc>
          <w:tcPr>
            <w:tcW w:type="dxa" w:w="4104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说明未经经营确认的行情不进入新方案，每个输入保留来源、时间、单位和质量状态。</w:t>
            </w:r>
          </w:p>
        </w:tc>
        <w:tc>
          <w:tcPr>
            <w:tcW w:type="dxa" w:w="216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行情版本、确认状态、证据完整度</w:t>
            </w:r>
          </w:p>
        </w:tc>
      </w:tr>
      <w:tr>
        <w:tc>
          <w:tcPr>
            <w:tcW w:type="dxa" w:w="1152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1:15-2:10</w:t>
            </w:r>
          </w:p>
        </w:tc>
        <w:tc>
          <w:tcPr>
            <w:tcW w:type="dxa" w:w="18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24小时平衡与方案比较</w:t>
            </w:r>
          </w:p>
        </w:tc>
        <w:tc>
          <w:tcPr>
            <w:tcW w:type="dxa" w:w="4104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先核对液氨守恒和安全库存，再比较各去向；经济指标不表述为已实现收益。</w:t>
            </w:r>
          </w:p>
        </w:tc>
        <w:tc>
          <w:tcPr>
            <w:tcW w:type="dxa" w:w="216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物料平衡、候选方案、逐项贡献账本</w:t>
            </w:r>
          </w:p>
        </w:tc>
      </w:tr>
      <w:tr>
        <w:tc>
          <w:tcPr>
            <w:tcW w:type="dxa" w:w="1152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2:10-2:55</w:t>
            </w:r>
          </w:p>
        </w:tc>
        <w:tc>
          <w:tcPr>
            <w:tcW w:type="dxa" w:w="18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设备趋势处置</w:t>
            </w:r>
          </w:p>
        </w:tc>
        <w:tc>
          <w:tcPr>
            <w:tcW w:type="dxa" w:w="4104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展示具体变量、持续时间和检查项；达到specialist_review条件时通知设备专业会签。</w:t>
            </w:r>
          </w:p>
        </w:tc>
        <w:tc>
          <w:tcPr>
            <w:tcW w:type="dxa" w:w="216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趋势回放样例、触发字段、检查清单</w:t>
            </w:r>
          </w:p>
        </w:tc>
      </w:tr>
      <w:tr>
        <w:tc>
          <w:tcPr>
            <w:tcW w:type="dxa" w:w="1152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2:55-3:50</w:t>
            </w:r>
          </w:p>
        </w:tc>
        <w:tc>
          <w:tcPr>
            <w:tcW w:type="dxa" w:w="18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条件处置与飞书闭环</w:t>
            </w:r>
          </w:p>
        </w:tc>
        <w:tc>
          <w:tcPr>
            <w:tcW w:type="dxa" w:w="4104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一般提示不自动升级；明确条件触发专业会签；演练停算线停止新目标、经济排序、动作单和审批。</w:t>
            </w:r>
          </w:p>
        </w:tc>
        <w:tc>
          <w:tcPr>
            <w:tcW w:type="dxa" w:w="216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处置状态、触发条件、会签对象、停算动作</w:t>
            </w:r>
          </w:p>
        </w:tc>
      </w:tr>
      <w:tr>
        <w:tc>
          <w:tcPr>
            <w:tcW w:type="dxa" w:w="1152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3:50-4:35</w:t>
            </w:r>
          </w:p>
        </w:tc>
        <w:tc>
          <w:tcPr>
            <w:tcW w:type="dxa" w:w="18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执行跟踪与班后复盘</w:t>
            </w:r>
          </w:p>
        </w:tc>
        <w:tc>
          <w:tcPr>
            <w:tcW w:type="dxa" w:w="4104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四岗位全部接令后才进入执行跟踪；接令不等于执行，无Historian回传时实际值为空。</w:t>
            </w:r>
          </w:p>
        </w:tc>
        <w:tc>
          <w:tcPr>
            <w:tcW w:type="dxa" w:w="216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动作单版本、回传状态、执行偏差、审核状态</w:t>
            </w:r>
          </w:p>
        </w:tc>
      </w:tr>
      <w:tr>
        <w:tc>
          <w:tcPr>
            <w:tcW w:type="dxa" w:w="1152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4:35-5:00</w:t>
            </w:r>
          </w:p>
        </w:tc>
        <w:tc>
          <w:tcPr>
            <w:tcW w:type="dxa" w:w="18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试点与验收</w:t>
            </w:r>
          </w:p>
        </w:tc>
        <w:tc>
          <w:tcPr>
            <w:tcW w:type="dxa" w:w="4104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说明30/60/90天范围、有效班次定义和必过项，再说明效果观察指标。</w:t>
            </w:r>
          </w:p>
        </w:tc>
        <w:tc>
          <w:tcPr>
            <w:tcW w:type="dxa" w:w="216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数据清单、验收口径、停用条件</w:t>
            </w:r>
          </w:p>
        </w:tc>
      </w:tr>
    </w:tbl>
    <w:p>
      <w:r>
        <w:rPr>
          <w:rFonts w:ascii="Calibri" w:hAnsi="Calibri" w:eastAsia="Microsoft YaHei"/>
        </w:rPr>
        <w:t>收束口径：平台不是替代操作员的自动控制器，而是把班次事实、调度判断、责任确认和执行结果串起来的工作方法。企业试点首先检验调度是否更快、更稳、更容易复盘。</w:t>
      </w:r>
    </w:p>
    <w:p>
      <w:pPr>
        <w:pStyle w:val="Heading2"/>
      </w:pPr>
      <w:r>
        <w:t>2（一）条件驱动处置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41"/>
        <w:gridCol w:w="2441"/>
        <w:gridCol w:w="2441"/>
        <w:gridCol w:w="2441"/>
      </w:tblGrid>
      <w:tr>
        <w:tc>
          <w:tcPr>
            <w:tcW w:type="dxa" w:w="1440"/>
            <w:shd w:fill="EAF2F8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b/>
              </w:rPr>
              <w:t>处置</w:t>
            </w:r>
          </w:p>
        </w:tc>
        <w:tc>
          <w:tcPr>
            <w:tcW w:type="dxa" w:w="3528"/>
            <w:shd w:fill="EAF2F8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b/>
              </w:rPr>
              <w:t>明确条件</w:t>
            </w:r>
          </w:p>
        </w:tc>
        <w:tc>
          <w:tcPr>
            <w:tcW w:type="dxa" w:w="3096"/>
            <w:shd w:fill="EAF2F8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b/>
              </w:rPr>
              <w:t>系统动作</w:t>
            </w:r>
          </w:p>
        </w:tc>
        <w:tc>
          <w:tcPr>
            <w:tcW w:type="dxa" w:w="1152"/>
            <w:shd w:fill="EAF2F8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b/>
              </w:rPr>
              <w:t>责任岗位</w:t>
            </w:r>
          </w:p>
        </w:tc>
      </w:tr>
      <w:tr>
        <w:tc>
          <w:tcPr>
            <w:tcW w:type="dxa" w:w="144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一般提示</w:t>
            </w:r>
          </w:p>
        </w:tc>
        <w:tc>
          <w:tcPr>
            <w:tcW w:type="dxa" w:w="3528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数据有效，且未命中专业会签条件或演练停算线</w:t>
            </w:r>
          </w:p>
        </w:tc>
        <w:tc>
          <w:tcPr>
            <w:tcW w:type="dxa" w:w="3096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显示具体偏差、持续时间和核对事项；不自动创建审批</w:t>
            </w:r>
          </w:p>
        </w:tc>
        <w:tc>
          <w:tcPr>
            <w:tcW w:type="dxa" w:w="1152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调度员</w:t>
            </w:r>
          </w:p>
        </w:tc>
      </w:tr>
      <w:tr>
        <w:tc>
          <w:tcPr>
            <w:tcW w:type="dxa" w:w="144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相关专业会签</w:t>
            </w:r>
          </w:p>
        </w:tc>
        <w:tc>
          <w:tcPr>
            <w:tcW w:type="dxa" w:w="3528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设备趋势达到specialist_review条件，公辅余量异常或失效，库存接近确认边界，或其他已登记条件成立</w:t>
            </w:r>
          </w:p>
        </w:tc>
        <w:tc>
          <w:tcPr>
            <w:tcW w:type="dxa" w:w="3096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显示触发字段、时间窗、质量状态和规则版本，通知对应专业</w:t>
            </w:r>
          </w:p>
        </w:tc>
        <w:tc>
          <w:tcPr>
            <w:tcW w:type="dxa" w:w="1152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设备、公辅、罐区或工艺专业</w:t>
            </w:r>
          </w:p>
        </w:tc>
      </w:tr>
      <w:tr>
        <w:tc>
          <w:tcPr>
            <w:tcW w:type="dxa" w:w="144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演练停算线</w:t>
            </w:r>
          </w:p>
        </w:tc>
        <w:tc>
          <w:tcPr>
            <w:tcW w:type="dxa" w:w="3528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趋势回放标记stop_new_recommendation_demo，或接口矩阵登记的停算条件成立</w:t>
            </w:r>
          </w:p>
        </w:tc>
        <w:tc>
          <w:tcPr>
            <w:tcW w:type="dxa" w:w="3096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停止新目标、经济排序、动作单和审批；维持最近批准方案并转现场规程</w:t>
            </w:r>
          </w:p>
        </w:tc>
        <w:tc>
          <w:tcPr>
            <w:tcW w:type="dxa" w:w="1152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现场指挥链与对应专业</w:t>
            </w:r>
          </w:p>
        </w:tc>
      </w:tr>
    </w:tbl>
    <w:p>
      <w:pPr>
        <w:pStyle w:val="Heading1"/>
      </w:pPr>
      <w:r>
        <w:t>3. 典型班次证据链</w:t>
      </w:r>
    </w:p>
    <w:p>
      <w:r>
        <w:rPr>
          <w:rFonts w:ascii="Calibri" w:hAnsi="Calibri" w:eastAsia="Microsoft YaHei"/>
        </w:rPr>
        <w:t>演示班次设定为液氨库存趋紧、下游需求分化、硝酸行情走弱，同时压缩机趋势指标持续偏离。该设定用于展示跨系统判断和人工闭环，不作为现场工况结论。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953"/>
        <w:gridCol w:w="1953"/>
        <w:gridCol w:w="1953"/>
        <w:gridCol w:w="1953"/>
        <w:gridCol w:w="1953"/>
      </w:tblGrid>
      <w:tr>
        <w:tc>
          <w:tcPr>
            <w:tcW w:type="dxa" w:w="792"/>
            <w:shd w:fill="EAF2F8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b/>
              </w:rPr>
              <w:t>编号</w:t>
            </w:r>
          </w:p>
        </w:tc>
        <w:tc>
          <w:tcPr>
            <w:tcW w:type="dxa" w:w="3456"/>
            <w:shd w:fill="EAF2F8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b/>
              </w:rPr>
              <w:t>证据</w:t>
            </w:r>
          </w:p>
        </w:tc>
        <w:tc>
          <w:tcPr>
            <w:tcW w:type="dxa" w:w="1800"/>
            <w:shd w:fill="EAF2F8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b/>
              </w:rPr>
              <w:t>责任岗位</w:t>
            </w:r>
          </w:p>
        </w:tc>
        <w:tc>
          <w:tcPr>
            <w:tcW w:type="dxa" w:w="1800"/>
            <w:shd w:fill="EAF2F8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b/>
              </w:rPr>
              <w:t>保存位置</w:t>
            </w:r>
          </w:p>
        </w:tc>
        <w:tc>
          <w:tcPr>
            <w:tcW w:type="dxa" w:w="1368"/>
            <w:shd w:fill="EAF2F8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b/>
              </w:rPr>
              <w:t>状态</w:t>
            </w:r>
          </w:p>
        </w:tc>
      </w:tr>
      <w:tr>
        <w:tc>
          <w:tcPr>
            <w:tcW w:type="dxa" w:w="792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E01</w:t>
            </w:r>
          </w:p>
        </w:tc>
        <w:tc>
          <w:tcPr>
            <w:tcW w:type="dxa" w:w="3456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原班次计划、触发时间和输入快照哈希</w:t>
            </w:r>
          </w:p>
        </w:tc>
        <w:tc>
          <w:tcPr>
            <w:tcW w:type="dxa" w:w="18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调度员</w:t>
            </w:r>
          </w:p>
        </w:tc>
        <w:tc>
          <w:tcPr>
            <w:tcW w:type="dxa" w:w="18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班次调度事实表</w:t>
            </w:r>
          </w:p>
        </w:tc>
        <w:tc>
          <w:tcPr>
            <w:tcW w:type="dxa" w:w="1368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原型</w:t>
            </w:r>
          </w:p>
        </w:tc>
      </w:tr>
      <w:tr>
        <w:tc>
          <w:tcPr>
            <w:tcW w:type="dxa" w:w="792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E02</w:t>
            </w:r>
          </w:p>
        </w:tc>
        <w:tc>
          <w:tcPr>
            <w:tcW w:type="dxa" w:w="3456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订单、MES计划、罐区摘要、行情确认和数据质量状态</w:t>
            </w:r>
          </w:p>
        </w:tc>
        <w:tc>
          <w:tcPr>
            <w:tcW w:type="dxa" w:w="18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经营、生产、罐区</w:t>
            </w:r>
          </w:p>
        </w:tc>
        <w:tc>
          <w:tcPr>
            <w:tcW w:type="dxa" w:w="18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班次调度事实表</w:t>
            </w:r>
          </w:p>
        </w:tc>
        <w:tc>
          <w:tcPr>
            <w:tcW w:type="dxa" w:w="1368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样例已形成；企业数据待授权</w:t>
            </w:r>
          </w:p>
        </w:tc>
      </w:tr>
      <w:tr>
        <w:tc>
          <w:tcPr>
            <w:tcW w:type="dxa" w:w="792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E03</w:t>
            </w:r>
          </w:p>
        </w:tc>
        <w:tc>
          <w:tcPr>
            <w:tcW w:type="dxa" w:w="3456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物料守恒、安全库存、公辅余量、设备趋势和条件路由结果</w:t>
            </w:r>
          </w:p>
        </w:tc>
        <w:tc>
          <w:tcPr>
            <w:tcW w:type="dxa" w:w="18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生产、设备、安环</w:t>
            </w:r>
          </w:p>
        </w:tc>
        <w:tc>
          <w:tcPr>
            <w:tcW w:type="dxa" w:w="18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约束校核记录</w:t>
            </w:r>
          </w:p>
        </w:tc>
        <w:tc>
          <w:tcPr>
            <w:tcW w:type="dxa" w:w="1368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原型</w:t>
            </w:r>
          </w:p>
        </w:tc>
      </w:tr>
      <w:tr>
        <w:tc>
          <w:tcPr>
            <w:tcW w:type="dxa" w:w="792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E04</w:t>
            </w:r>
          </w:p>
        </w:tc>
        <w:tc>
          <w:tcPr>
            <w:tcW w:type="dxa" w:w="3456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原计划、候选方案、有效期、撤销条件和贡献账本</w:t>
            </w:r>
          </w:p>
        </w:tc>
        <w:tc>
          <w:tcPr>
            <w:tcW w:type="dxa" w:w="18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调度员、财务</w:t>
            </w:r>
          </w:p>
        </w:tc>
        <w:tc>
          <w:tcPr>
            <w:tcW w:type="dxa" w:w="18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方案版本与测算明细</w:t>
            </w:r>
          </w:p>
        </w:tc>
        <w:tc>
          <w:tcPr>
            <w:tcW w:type="dxa" w:w="1368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原型</w:t>
            </w:r>
          </w:p>
        </w:tc>
      </w:tr>
      <w:tr>
        <w:tc>
          <w:tcPr>
            <w:tcW w:type="dxa" w:w="792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E05</w:t>
            </w:r>
          </w:p>
        </w:tc>
        <w:tc>
          <w:tcPr>
            <w:tcW w:type="dxa" w:w="3456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班长确认，以及命中明确条件时对应专业的会签或退回意见</w:t>
            </w:r>
          </w:p>
        </w:tc>
        <w:tc>
          <w:tcPr>
            <w:tcW w:type="dxa" w:w="18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班长、调度主管、对应专业</w:t>
            </w:r>
          </w:p>
        </w:tc>
        <w:tc>
          <w:tcPr>
            <w:tcW w:type="dxa" w:w="18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飞书审批记录</w:t>
            </w:r>
          </w:p>
        </w:tc>
        <w:tc>
          <w:tcPr>
            <w:tcW w:type="dxa" w:w="1368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状态机为原型；审批定义待授权</w:t>
            </w:r>
          </w:p>
        </w:tc>
      </w:tr>
      <w:tr>
        <w:tc>
          <w:tcPr>
            <w:tcW w:type="dxa" w:w="792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E06</w:t>
            </w:r>
          </w:p>
        </w:tc>
        <w:tc>
          <w:tcPr>
            <w:tcW w:type="dxa" w:w="3456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动作单版本、四岗位接令人、接令时间、回复和异常</w:t>
            </w:r>
          </w:p>
        </w:tc>
        <w:tc>
          <w:tcPr>
            <w:tcW w:type="dxa" w:w="18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四岗位主操/调度</w:t>
            </w:r>
          </w:p>
        </w:tc>
        <w:tc>
          <w:tcPr>
            <w:tcW w:type="dxa" w:w="18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Task v2与动作单记录</w:t>
            </w:r>
          </w:p>
        </w:tc>
        <w:tc>
          <w:tcPr>
            <w:tcW w:type="dxa" w:w="1368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普通任务已验证；自动拆单为原型</w:t>
            </w:r>
          </w:p>
        </w:tc>
      </w:tr>
      <w:tr>
        <w:tc>
          <w:tcPr>
            <w:tcW w:type="dxa" w:w="792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E07</w:t>
            </w:r>
          </w:p>
        </w:tc>
        <w:tc>
          <w:tcPr>
            <w:tcW w:type="dxa" w:w="3456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Historian回传的实际负荷、库存、能耗和执行偏差</w:t>
            </w:r>
          </w:p>
        </w:tc>
        <w:tc>
          <w:tcPr>
            <w:tcW w:type="dxa" w:w="18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生产、信息化</w:t>
            </w:r>
          </w:p>
        </w:tc>
        <w:tc>
          <w:tcPr>
            <w:tcW w:type="dxa" w:w="18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执行跟踪记录</w:t>
            </w:r>
          </w:p>
        </w:tc>
        <w:tc>
          <w:tcPr>
            <w:tcW w:type="dxa" w:w="1368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待授权；接令不作实际值</w:t>
            </w:r>
          </w:p>
        </w:tc>
      </w:tr>
      <w:tr>
        <w:tc>
          <w:tcPr>
            <w:tcW w:type="dxa" w:w="792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E08</w:t>
            </w:r>
          </w:p>
        </w:tc>
        <w:tc>
          <w:tcPr>
            <w:tcW w:type="dxa" w:w="3456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未采纳原因、归因、适用条件、审核人和规则版本</w:t>
            </w:r>
          </w:p>
        </w:tc>
        <w:tc>
          <w:tcPr>
            <w:tcW w:type="dxa" w:w="18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生产、设备、安环、经营</w:t>
            </w:r>
          </w:p>
        </w:tc>
        <w:tc>
          <w:tcPr>
            <w:tcW w:type="dxa" w:w="18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Base待审核案例库</w:t>
            </w:r>
          </w:p>
        </w:tc>
        <w:tc>
          <w:tcPr>
            <w:tcW w:type="dxa" w:w="1368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样例库已验证；审核流程为原型</w:t>
            </w:r>
          </w:p>
        </w:tc>
      </w:tr>
    </w:tbl>
    <w:p>
      <w:r>
        <w:rPr>
          <w:rFonts w:ascii="Calibri" w:hAnsi="Calibri" w:eastAsia="Microsoft YaHei"/>
        </w:rPr>
        <w:t>E01至E04完整后才允许提交建议；明确条件成立时E05须完成对应专业会签；命中演练停算线时停止生成新目标、经济排序、动作单和审批，维持最近批准方案；E06四岗位未全部接令时不得进入执行跟踪；E07缺失时不得填写实际效果。</w:t>
      </w:r>
    </w:p>
    <w:p>
      <w:pPr>
        <w:pStyle w:val="Heading2"/>
      </w:pPr>
      <w:r>
        <w:t>3（一）跨装置调度动作单</w:t>
      </w:r>
    </w:p>
    <w:p>
      <w:r>
        <w:rPr>
          <w:rFonts w:ascii="Calibri" w:hAnsi="Calibri" w:eastAsia="Microsoft YaHei"/>
        </w:rPr>
        <w:t>审批通过后生成跨装置调度动作单，由合成主操、硝酸主操、罐区/调度和公辅调度分别接令。四个岗位全部接令后才可进入执行跟踪；接令只表示收到有效方案并确认责任，不表示现场已经执行。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41"/>
        <w:gridCol w:w="2441"/>
        <w:gridCol w:w="2441"/>
        <w:gridCol w:w="2441"/>
      </w:tblGrid>
      <w:tr>
        <w:tc>
          <w:tcPr>
            <w:tcW w:type="dxa" w:w="1440"/>
            <w:shd w:fill="EAF2F8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b/>
              </w:rPr>
              <w:t>接令岗位</w:t>
            </w:r>
          </w:p>
        </w:tc>
        <w:tc>
          <w:tcPr>
            <w:tcW w:type="dxa" w:w="3024"/>
            <w:shd w:fill="EAF2F8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b/>
              </w:rPr>
              <w:t>接令时核对</w:t>
            </w:r>
          </w:p>
        </w:tc>
        <w:tc>
          <w:tcPr>
            <w:tcW w:type="dxa" w:w="3096"/>
            <w:shd w:fill="EAF2F8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b/>
              </w:rPr>
              <w:t>接令后的责任</w:t>
            </w:r>
          </w:p>
        </w:tc>
        <w:tc>
          <w:tcPr>
            <w:tcW w:type="dxa" w:w="1656"/>
            <w:shd w:fill="EAF2F8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b/>
              </w:rPr>
              <w:t>退回处理</w:t>
            </w:r>
          </w:p>
        </w:tc>
      </w:tr>
      <w:tr>
        <w:tc>
          <w:tcPr>
            <w:tcW w:type="dxa" w:w="144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合成主操</w:t>
            </w:r>
          </w:p>
        </w:tc>
        <w:tc>
          <w:tcPr>
            <w:tcW w:type="dxa" w:w="3024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目标负荷、升降负荷节奏、保持条件和撤销条件</w:t>
            </w:r>
          </w:p>
        </w:tc>
        <w:tc>
          <w:tcPr>
            <w:tcW w:type="dxa" w:w="3096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确认收到有效版本，按现行操作票组织执行</w:t>
            </w:r>
          </w:p>
        </w:tc>
        <w:tc>
          <w:tcPr>
            <w:tcW w:type="dxa" w:w="1656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保留原计划并反馈不可执行原因</w:t>
            </w:r>
          </w:p>
        </w:tc>
      </w:tr>
      <w:tr>
        <w:tc>
          <w:tcPr>
            <w:tcW w:type="dxa" w:w="144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硝酸主操</w:t>
            </w:r>
          </w:p>
        </w:tc>
        <w:tc>
          <w:tcPr>
            <w:tcW w:type="dxa" w:w="3024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下游目标负荷、耗氨窗口、缓冲能力和恢复条件</w:t>
            </w:r>
          </w:p>
        </w:tc>
        <w:tc>
          <w:tcPr>
            <w:tcW w:type="dxa" w:w="3096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确认下游承接节奏与现场条件</w:t>
            </w:r>
          </w:p>
        </w:tc>
        <w:tc>
          <w:tcPr>
            <w:tcW w:type="dxa" w:w="1656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退回调度重算液氨去向与负荷方案</w:t>
            </w:r>
          </w:p>
        </w:tc>
      </w:tr>
      <w:tr>
        <w:tc>
          <w:tcPr>
            <w:tcW w:type="dxa" w:w="144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罐区/调度</w:t>
            </w:r>
          </w:p>
        </w:tc>
        <w:tc>
          <w:tcPr>
            <w:tcW w:type="dxa" w:w="3024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液氨库存、收发安排、安全库存和物流窗口</w:t>
            </w:r>
          </w:p>
        </w:tc>
        <w:tc>
          <w:tcPr>
            <w:tcW w:type="dxa" w:w="3096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确认库存与收发计划能够支撑动作单</w:t>
            </w:r>
          </w:p>
        </w:tc>
        <w:tc>
          <w:tcPr>
            <w:tcW w:type="dxa" w:w="1656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标记冲突并冻结执行跟踪入口</w:t>
            </w:r>
          </w:p>
        </w:tc>
      </w:tr>
      <w:tr>
        <w:tc>
          <w:tcPr>
            <w:tcW w:type="dxa" w:w="144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公辅调度</w:t>
            </w:r>
          </w:p>
        </w:tc>
        <w:tc>
          <w:tcPr>
            <w:tcW w:type="dxa" w:w="3024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蒸汽、电力、空分、循环水等余量和时间窗口</w:t>
            </w:r>
          </w:p>
        </w:tc>
        <w:tc>
          <w:tcPr>
            <w:tcW w:type="dxa" w:w="3096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确认公辅条件满足动作单要求</w:t>
            </w:r>
          </w:p>
        </w:tc>
        <w:tc>
          <w:tcPr>
            <w:tcW w:type="dxa" w:w="1656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返回受限时段和可用窗口，重新排程</w:t>
            </w:r>
          </w:p>
        </w:tc>
      </w:tr>
    </w:tbl>
    <w:p>
      <w:r>
        <w:rPr>
          <w:rFonts w:ascii="Calibri" w:hAnsi="Calibri" w:eastAsia="Microsoft YaHei"/>
        </w:rPr>
        <w:t>动作单以班次编号、方案版本和岗位标识唯一记录接令人、接令时间、回复、异常和有效期。审批状态机与动作单门禁为原型，Task v2普通任务写入已验证；自动拆单、岗位身份映射和事件汇总待授权。实际负荷、库存和能耗只接受Historian或企业认可的只读事实源回传，无回传时保持为空。</w:t>
      </w:r>
    </w:p>
    <w:p>
      <w:pPr>
        <w:pStyle w:val="Heading1"/>
      </w:pPr>
      <w:r>
        <w:t>4. 评委追问及事实回答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82"/>
        <w:gridCol w:w="4882"/>
      </w:tblGrid>
      <w:tr>
        <w:tc>
          <w:tcPr>
            <w:tcW w:type="dxa" w:w="2592"/>
            <w:shd w:fill="EAF2F8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b/>
              </w:rPr>
              <w:t>追问</w:t>
            </w:r>
          </w:p>
        </w:tc>
        <w:tc>
          <w:tcPr>
            <w:tcW w:type="dxa" w:w="6624"/>
            <w:shd w:fill="EAF2F8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b/>
              </w:rPr>
              <w:t>事实回答</w:t>
            </w:r>
          </w:p>
        </w:tc>
      </w:tr>
      <w:tr>
        <w:tc>
          <w:tcPr>
            <w:tcW w:type="dxa" w:w="2592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与普通看板有什么区别？</w:t>
            </w:r>
          </w:p>
        </w:tc>
        <w:tc>
          <w:tcPr>
            <w:tcW w:type="dxa" w:w="6624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平台不只展示状态，还保存原计划、输入快照、约束校核、候选方案、人工确认、执行回传和班后复盘，使每条建议可追溯。</w:t>
            </w:r>
          </w:p>
        </w:tc>
      </w:tr>
      <w:tr>
        <w:tc>
          <w:tcPr>
            <w:tcW w:type="dxa" w:w="2592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为什么不直接控制DCS？</w:t>
            </w:r>
          </w:p>
        </w:tc>
        <w:tc>
          <w:tcPr>
            <w:tcW w:type="dxa" w:w="6624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DCS、SIS、APC和设备保护承担控制与保护。本平台处理班次级跨装置决策，审批后最多写MES计划摘要、交接说明和复盘记录。</w:t>
            </w:r>
          </w:p>
        </w:tc>
      </w:tr>
      <w:tr>
        <w:tc>
          <w:tcPr>
            <w:tcW w:type="dxa" w:w="2592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哪些飞书能力已经做通？</w:t>
            </w:r>
          </w:p>
        </w:tc>
        <w:tc>
          <w:tcPr>
            <w:tcW w:type="dxa" w:w="6624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已验证在线方案稿、Base样例库、Task v2任务清单和任务t136777；卡片、审批状态机和事件契约为原型；Aily、目标群和企业接口待授权。</w:t>
            </w:r>
          </w:p>
        </w:tc>
      </w:tr>
      <w:tr>
        <w:tc>
          <w:tcPr>
            <w:tcW w:type="dxa" w:w="2592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没有实时数据如何证明有效？</w:t>
            </w:r>
          </w:p>
        </w:tc>
        <w:tc>
          <w:tcPr>
            <w:tcW w:type="dxa" w:w="6624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当前验证业务流程、计算口径、控制边界和可追溯性。现场效果要经过数据校核、旁路回放和条件受控执行验证后计算。</w:t>
            </w:r>
          </w:p>
        </w:tc>
      </w:tr>
      <w:tr>
        <w:tc>
          <w:tcPr>
            <w:tcW w:type="dxa" w:w="2592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经济指标为什么不是节约金额？</w:t>
            </w:r>
          </w:p>
        </w:tc>
        <w:tc>
          <w:tcPr>
            <w:tcW w:type="dxa" w:w="6624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演示值用于比较液氨去向。只有建议被采纳、实际执行并完成归因后，才进入试点效果统计。</w:t>
            </w:r>
          </w:p>
        </w:tc>
      </w:tr>
      <w:tr>
        <w:tc>
          <w:tcPr>
            <w:tcW w:type="dxa" w:w="2592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如何防止错误建议？</w:t>
            </w:r>
          </w:p>
        </w:tc>
        <w:tc>
          <w:tcPr>
            <w:tcW w:type="dxa" w:w="6624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关键字段缺失、数据过期、口径冲突、超出适用工况或接近安全设备限值时，平台保留原计划并转人工复核。</w:t>
            </w:r>
          </w:p>
        </w:tc>
      </w:tr>
      <w:tr>
        <w:tc>
          <w:tcPr>
            <w:tcW w:type="dxa" w:w="2592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审批是否由汇总分数决定？</w:t>
            </w:r>
          </w:p>
        </w:tc>
        <w:tc>
          <w:tcPr>
            <w:tcW w:type="dxa" w:w="6624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不是。一般提示、专业会签和演练停算线分别由具体字段、时间窗、质量状态和规则版本决定；停算时不生成新审批。</w:t>
            </w:r>
          </w:p>
        </w:tc>
      </w:tr>
      <w:tr>
        <w:tc>
          <w:tcPr>
            <w:tcW w:type="dxa" w:w="2592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系统怎样学习而不越学越错？</w:t>
            </w:r>
          </w:p>
        </w:tc>
        <w:tc>
          <w:tcPr>
            <w:tcW w:type="dxa" w:w="6624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班后案例须经生产、设备、安环和经营专业审核后才可修订规则或纳入训练样本，单个班次不自动改变生产规则。</w:t>
            </w:r>
          </w:p>
        </w:tc>
      </w:tr>
      <w:tr>
        <w:tc>
          <w:tcPr>
            <w:tcW w:type="dxa" w:w="2592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与MES、APC和RTO是什么关系？</w:t>
            </w:r>
          </w:p>
        </w:tc>
        <w:tc>
          <w:tcPr>
            <w:tcW w:type="dxa" w:w="6624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MES承接计划和记录，APC处理装置内先进控制，RTO负责授权范围内的经济优化；本平台组织跨装置班次事实、方案比较和人工确认。</w:t>
            </w:r>
          </w:p>
        </w:tc>
      </w:tr>
      <w:tr>
        <w:tc>
          <w:tcPr>
            <w:tcW w:type="dxa" w:w="2592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90天怎样验收？</w:t>
            </w:r>
          </w:p>
        </w:tc>
        <w:tc>
          <w:tcPr>
            <w:tcW w:type="dxa" w:w="6624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先通过安全、数据真实性、可复算和审批合规等必过项，再覆盖不少于30个有效班次和三类场景，比较双方确认的观察指标。</w:t>
            </w:r>
          </w:p>
        </w:tc>
      </w:tr>
      <w:tr>
        <w:tc>
          <w:tcPr>
            <w:tcW w:type="dxa" w:w="2592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最先需要企业提供什么？</w:t>
            </w:r>
          </w:p>
        </w:tc>
        <w:tc>
          <w:tcPr>
            <w:tcW w:type="dxa" w:w="6624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首批只需订单导出、MES班次计划、罐区历史摘要和飞书协同记录，并由相关专业确认字段口径、时间戳、单位和更新频率。</w:t>
            </w:r>
          </w:p>
        </w:tc>
      </w:tr>
    </w:tbl>
    <w:p>
      <w:pPr>
        <w:pStyle w:val="Heading1"/>
      </w:pPr>
      <w:r>
        <w:t>5. 试点数据清单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953"/>
        <w:gridCol w:w="1953"/>
        <w:gridCol w:w="1953"/>
        <w:gridCol w:w="1953"/>
        <w:gridCol w:w="1953"/>
      </w:tblGrid>
      <w:tr>
        <w:tc>
          <w:tcPr>
            <w:tcW w:type="dxa" w:w="936"/>
            <w:shd w:fill="EAF2F8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b/>
              </w:rPr>
              <w:t>阶段</w:t>
            </w:r>
          </w:p>
        </w:tc>
        <w:tc>
          <w:tcPr>
            <w:tcW w:type="dxa" w:w="1584"/>
            <w:shd w:fill="EAF2F8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b/>
              </w:rPr>
              <w:t>数据域</w:t>
            </w:r>
          </w:p>
        </w:tc>
        <w:tc>
          <w:tcPr>
            <w:tcW w:type="dxa" w:w="4032"/>
            <w:shd w:fill="EAF2F8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b/>
              </w:rPr>
              <w:t>最小字段</w:t>
            </w:r>
          </w:p>
        </w:tc>
        <w:tc>
          <w:tcPr>
            <w:tcW w:type="dxa" w:w="1296"/>
            <w:shd w:fill="EAF2F8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b/>
              </w:rPr>
              <w:t>责任专业</w:t>
            </w:r>
          </w:p>
        </w:tc>
        <w:tc>
          <w:tcPr>
            <w:tcW w:type="dxa" w:w="1368"/>
            <w:shd w:fill="EAF2F8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b/>
              </w:rPr>
              <w:t>状态</w:t>
            </w:r>
          </w:p>
        </w:tc>
      </w:tr>
      <w:tr>
        <w:tc>
          <w:tcPr>
            <w:tcW w:type="dxa" w:w="936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30天</w:t>
            </w:r>
          </w:p>
        </w:tc>
        <w:tc>
          <w:tcPr>
            <w:tcW w:type="dxa" w:w="1584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订单与经营</w:t>
            </w:r>
          </w:p>
        </w:tc>
        <w:tc>
          <w:tcPr>
            <w:tcW w:type="dxa" w:w="4032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产品、数量、交期、优先级、价格版本、确认人</w:t>
            </w:r>
          </w:p>
        </w:tc>
        <w:tc>
          <w:tcPr>
            <w:tcW w:type="dxa" w:w="1296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经营、销售</w:t>
            </w:r>
          </w:p>
        </w:tc>
        <w:tc>
          <w:tcPr>
            <w:tcW w:type="dxa" w:w="1368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离线导出校核，待授权</w:t>
            </w:r>
          </w:p>
        </w:tc>
      </w:tr>
      <w:tr>
        <w:tc>
          <w:tcPr>
            <w:tcW w:type="dxa" w:w="936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30天</w:t>
            </w:r>
          </w:p>
        </w:tc>
        <w:tc>
          <w:tcPr>
            <w:tcW w:type="dxa" w:w="1584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MES班次计划</w:t>
            </w:r>
          </w:p>
        </w:tc>
        <w:tc>
          <w:tcPr>
            <w:tcW w:type="dxa" w:w="4032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班次、装置、原计划负荷、目标产量、计划版本、变更原因</w:t>
            </w:r>
          </w:p>
        </w:tc>
        <w:tc>
          <w:tcPr>
            <w:tcW w:type="dxa" w:w="1296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生产、调度</w:t>
            </w:r>
          </w:p>
        </w:tc>
        <w:tc>
          <w:tcPr>
            <w:tcW w:type="dxa" w:w="1368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离线导出校核，待授权</w:t>
            </w:r>
          </w:p>
        </w:tc>
      </w:tr>
      <w:tr>
        <w:tc>
          <w:tcPr>
            <w:tcW w:type="dxa" w:w="936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30天</w:t>
            </w:r>
          </w:p>
        </w:tc>
        <w:tc>
          <w:tcPr>
            <w:tcW w:type="dxa" w:w="1584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罐区历史摘要</w:t>
            </w:r>
          </w:p>
        </w:tc>
        <w:tc>
          <w:tcPr>
            <w:tcW w:type="dxa" w:w="4032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期初量、收发量、期末量、安全库存、单位、质量状态</w:t>
            </w:r>
          </w:p>
        </w:tc>
        <w:tc>
          <w:tcPr>
            <w:tcW w:type="dxa" w:w="1296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罐区、计量</w:t>
            </w:r>
          </w:p>
        </w:tc>
        <w:tc>
          <w:tcPr>
            <w:tcW w:type="dxa" w:w="1368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历史摘要校核，待授权</w:t>
            </w:r>
          </w:p>
        </w:tc>
      </w:tr>
      <w:tr>
        <w:tc>
          <w:tcPr>
            <w:tcW w:type="dxa" w:w="936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30天</w:t>
            </w:r>
          </w:p>
        </w:tc>
        <w:tc>
          <w:tcPr>
            <w:tcW w:type="dxa" w:w="1584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飞书协同记录</w:t>
            </w:r>
          </w:p>
        </w:tc>
        <w:tc>
          <w:tcPr>
            <w:tcW w:type="dxa" w:w="4032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建议编号、确认人、负责人、截止时间、状态、未采纳原因</w:t>
            </w:r>
          </w:p>
        </w:tc>
        <w:tc>
          <w:tcPr>
            <w:tcW w:type="dxa" w:w="1296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调度、班组</w:t>
            </w:r>
          </w:p>
        </w:tc>
        <w:tc>
          <w:tcPr>
            <w:tcW w:type="dxa" w:w="1368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Task v2和Base样例已验证；自动链路为原型</w:t>
            </w:r>
          </w:p>
        </w:tc>
      </w:tr>
      <w:tr>
        <w:tc>
          <w:tcPr>
            <w:tcW w:type="dxa" w:w="936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60天</w:t>
            </w:r>
          </w:p>
        </w:tc>
        <w:tc>
          <w:tcPr>
            <w:tcW w:type="dxa" w:w="1584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生产历史数据库</w:t>
            </w:r>
          </w:p>
        </w:tc>
        <w:tc>
          <w:tcPr>
            <w:tcW w:type="dxa" w:w="4032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合成氨负荷、液氨产量与库存、下游耗氨量、关键温压流、质量码</w:t>
            </w:r>
          </w:p>
        </w:tc>
        <w:tc>
          <w:tcPr>
            <w:tcW w:type="dxa" w:w="1296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生产、信息化</w:t>
            </w:r>
          </w:p>
        </w:tc>
        <w:tc>
          <w:tcPr>
            <w:tcW w:type="dxa" w:w="1368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只读接入待授权</w:t>
            </w:r>
          </w:p>
        </w:tc>
      </w:tr>
      <w:tr>
        <w:tc>
          <w:tcPr>
            <w:tcW w:type="dxa" w:w="936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60天</w:t>
            </w:r>
          </w:p>
        </w:tc>
        <w:tc>
          <w:tcPr>
            <w:tcW w:type="dxa" w:w="1584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公辅与能源</w:t>
            </w:r>
          </w:p>
        </w:tc>
        <w:tc>
          <w:tcPr>
            <w:tcW w:type="dxa" w:w="4032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蒸汽、电力、燃料、空分与管网余量、约束状态</w:t>
            </w:r>
          </w:p>
        </w:tc>
        <w:tc>
          <w:tcPr>
            <w:tcW w:type="dxa" w:w="1296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热电、公辅</w:t>
            </w:r>
          </w:p>
        </w:tc>
        <w:tc>
          <w:tcPr>
            <w:tcW w:type="dxa" w:w="1368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只读接入待授权</w:t>
            </w:r>
          </w:p>
        </w:tc>
      </w:tr>
      <w:tr>
        <w:tc>
          <w:tcPr>
            <w:tcW w:type="dxa" w:w="936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60天</w:t>
            </w:r>
          </w:p>
        </w:tc>
        <w:tc>
          <w:tcPr>
            <w:tcW w:type="dxa" w:w="1584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关键设备</w:t>
            </w:r>
          </w:p>
        </w:tc>
        <w:tc>
          <w:tcPr>
            <w:tcW w:type="dxa" w:w="4032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振动、轴位移、防喘振裕度、轴承温度、机组状态、检修记录</w:t>
            </w:r>
          </w:p>
        </w:tc>
        <w:tc>
          <w:tcPr>
            <w:tcW w:type="dxa" w:w="1296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设备、仪表</w:t>
            </w:r>
          </w:p>
        </w:tc>
        <w:tc>
          <w:tcPr>
            <w:tcW w:type="dxa" w:w="1368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只读接入待授权</w:t>
            </w:r>
          </w:p>
        </w:tc>
      </w:tr>
      <w:tr>
        <w:tc>
          <w:tcPr>
            <w:tcW w:type="dxa" w:w="936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60天</w:t>
            </w:r>
          </w:p>
        </w:tc>
        <w:tc>
          <w:tcPr>
            <w:tcW w:type="dxa" w:w="1584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财务测算</w:t>
            </w:r>
          </w:p>
        </w:tc>
        <w:tc>
          <w:tcPr>
            <w:tcW w:type="dxa" w:w="4032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非氨变动成本、包装物流、启停损失、机会成本、违约避免额</w:t>
            </w:r>
          </w:p>
        </w:tc>
        <w:tc>
          <w:tcPr>
            <w:tcW w:type="dxa" w:w="1296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财务、经营</w:t>
            </w:r>
          </w:p>
        </w:tc>
        <w:tc>
          <w:tcPr>
            <w:tcW w:type="dxa" w:w="1368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口径待企业确认</w:t>
            </w:r>
          </w:p>
        </w:tc>
      </w:tr>
    </w:tbl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41"/>
        <w:gridCol w:w="2441"/>
        <w:gridCol w:w="2441"/>
        <w:gridCol w:w="2441"/>
      </w:tblGrid>
      <w:tr>
        <w:tc>
          <w:tcPr>
            <w:tcW w:type="dxa" w:w="2376"/>
            <w:shd w:fill="EAF2F8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b/>
              </w:rPr>
              <w:t>仓库样例</w:t>
            </w:r>
          </w:p>
        </w:tc>
        <w:tc>
          <w:tcPr>
            <w:tcW w:type="dxa" w:w="1656"/>
            <w:shd w:fill="EAF2F8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b/>
              </w:rPr>
              <w:t>用途</w:t>
            </w:r>
          </w:p>
        </w:tc>
        <w:tc>
          <w:tcPr>
            <w:tcW w:type="dxa" w:w="3384"/>
            <w:shd w:fill="EAF2F8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b/>
              </w:rPr>
              <w:t>关键字段</w:t>
            </w:r>
          </w:p>
        </w:tc>
        <w:tc>
          <w:tcPr>
            <w:tcW w:type="dxa" w:w="1800"/>
            <w:shd w:fill="EAF2F8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b/>
              </w:rPr>
              <w:t>使用边界</w:t>
            </w:r>
          </w:p>
        </w:tc>
      </w:tr>
      <w:tr>
        <w:tc>
          <w:tcPr>
            <w:tcW w:type="dxa" w:w="2376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data/compressor_trend_replay_sample.csv</w:t>
            </w:r>
          </w:p>
        </w:tc>
        <w:tc>
          <w:tcPr>
            <w:tcW w:type="dxa" w:w="1656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压缩机趋势回放</w:t>
            </w:r>
          </w:p>
        </w:tc>
        <w:tc>
          <w:tcPr>
            <w:tcW w:type="dxa" w:w="3384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负荷、轴振、轴位移、防喘振裕度、轴承温度、质量码和复核标签</w:t>
            </w:r>
          </w:p>
        </w:tc>
        <w:tc>
          <w:tcPr>
            <w:tcW w:type="dxa" w:w="18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仅验证观察、专业会签和演练停算流程；不作为企业设备阈值</w:t>
            </w:r>
          </w:p>
        </w:tc>
      </w:tr>
      <w:tr>
        <w:tc>
          <w:tcPr>
            <w:tcW w:type="dxa" w:w="2376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data/interface_field_matrix.csv</w:t>
            </w:r>
          </w:p>
        </w:tc>
        <w:tc>
          <w:tcPr>
            <w:tcW w:type="dxa" w:w="1656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接口字段矩阵</w:t>
            </w:r>
          </w:p>
        </w:tc>
        <w:tc>
          <w:tcPr>
            <w:tcW w:type="dxa" w:w="3384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阶段、来源系统、字段、方向、频率、时间基准、质量规则、单位、责任专业和超时动作</w:t>
            </w:r>
          </w:p>
        </w:tc>
        <w:tc>
          <w:tcPr>
            <w:tcW w:type="dxa" w:w="18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字段与动作是定义稿，30天校核后由企业冻结</w:t>
            </w:r>
          </w:p>
        </w:tc>
      </w:tr>
    </w:tbl>
    <w:p>
      <w:r>
        <w:rPr>
          <w:rFonts w:ascii="Calibri" w:hAnsi="Calibri" w:eastAsia="Microsoft YaHei"/>
        </w:rPr>
        <w:t>所有字段同时记录来源系统、源时间、接收时间、单位、质量状态、版本和责任专业。密钥、个人联系方式和控制指令不进入分析数据集。</w:t>
      </w:r>
    </w:p>
    <w:p>
      <w:pPr>
        <w:pStyle w:val="Heading1"/>
      </w:pPr>
      <w:r>
        <w:t>6. 试点验收口径</w:t>
      </w:r>
    </w:p>
    <w:p>
      <w:r>
        <w:rPr>
          <w:rFonts w:ascii="Calibri" w:hAnsi="Calibri" w:eastAsia="Microsoft YaHei"/>
        </w:rPr>
        <w:t>有效班次须同时具备冻结的原计划、合格输入、可追溯建议、完整人工确认、Historian实际回传和班后复盘。未执行方案可用于流程验收，但不进入效果统计。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255"/>
        <w:gridCol w:w="3255"/>
        <w:gridCol w:w="3255"/>
      </w:tblGrid>
      <w:tr>
        <w:tc>
          <w:tcPr>
            <w:tcW w:type="dxa" w:w="1512"/>
            <w:shd w:fill="EAF2F8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b/>
              </w:rPr>
              <w:t>验收项</w:t>
            </w:r>
          </w:p>
        </w:tc>
        <w:tc>
          <w:tcPr>
            <w:tcW w:type="dxa" w:w="6264"/>
            <w:shd w:fill="EAF2F8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b/>
              </w:rPr>
              <w:t>口径</w:t>
            </w:r>
          </w:p>
        </w:tc>
        <w:tc>
          <w:tcPr>
            <w:tcW w:type="dxa" w:w="1440"/>
            <w:shd w:fill="EAF2F8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b/>
              </w:rPr>
              <w:t>判定</w:t>
            </w:r>
          </w:p>
        </w:tc>
      </w:tr>
      <w:tr>
        <w:tc>
          <w:tcPr>
            <w:tcW w:type="dxa" w:w="1512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安全边界</w:t>
            </w:r>
          </w:p>
        </w:tc>
        <w:tc>
          <w:tcPr>
            <w:tcW w:type="dxa" w:w="6264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安全硬约束零突破；不存在DCS/SIS写入路径，不替代报警、联锁、操作票和现场确认。</w:t>
            </w:r>
          </w:p>
        </w:tc>
        <w:tc>
          <w:tcPr>
            <w:tcW w:type="dxa" w:w="144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必过</w:t>
            </w:r>
          </w:p>
        </w:tc>
      </w:tr>
      <w:tr>
        <w:tc>
          <w:tcPr>
            <w:tcW w:type="dxa" w:w="1512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数据真实性</w:t>
            </w:r>
          </w:p>
        </w:tc>
        <w:tc>
          <w:tcPr>
            <w:tcW w:type="dxa" w:w="6264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关键字段缺失、过期或质量无效时转人工；无生产历史数据库回传时实际值为空。</w:t>
            </w:r>
          </w:p>
        </w:tc>
        <w:tc>
          <w:tcPr>
            <w:tcW w:type="dxa" w:w="144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必过</w:t>
            </w:r>
          </w:p>
        </w:tc>
      </w:tr>
      <w:tr>
        <w:tc>
          <w:tcPr>
            <w:tcW w:type="dxa" w:w="1512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可复算性</w:t>
            </w:r>
          </w:p>
        </w:tc>
        <w:tc>
          <w:tcPr>
            <w:tcW w:type="dxa" w:w="6264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液氨物料守恒、相对外售分配贡献和方案排序可按同一输入快照复算。</w:t>
            </w:r>
          </w:p>
        </w:tc>
        <w:tc>
          <w:tcPr>
            <w:tcW w:type="dxa" w:w="144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必过</w:t>
            </w:r>
          </w:p>
        </w:tc>
      </w:tr>
      <w:tr>
        <w:tc>
          <w:tcPr>
            <w:tcW w:type="dxa" w:w="1512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条件处置</w:t>
            </w:r>
          </w:p>
        </w:tc>
        <w:tc>
          <w:tcPr>
            <w:tcW w:type="dxa" w:w="6264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一般提示、专业会签和演练停算线可追到字段、时间窗、质量状态和规则版本；审批不由汇总分数驱动。</w:t>
            </w:r>
          </w:p>
        </w:tc>
        <w:tc>
          <w:tcPr>
            <w:tcW w:type="dxa" w:w="144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必过</w:t>
            </w:r>
          </w:p>
        </w:tc>
      </w:tr>
      <w:tr>
        <w:tc>
          <w:tcPr>
            <w:tcW w:type="dxa" w:w="1512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动作单门禁</w:t>
            </w:r>
          </w:p>
        </w:tc>
        <w:tc>
          <w:tcPr>
            <w:tcW w:type="dxa" w:w="6264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审批后四岗位分别接令，未全部接令不得进入执行跟踪；接令状态不得填入实际执行字段。</w:t>
            </w:r>
          </w:p>
        </w:tc>
        <w:tc>
          <w:tcPr>
            <w:tcW w:type="dxa" w:w="144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必过</w:t>
            </w:r>
          </w:p>
        </w:tc>
      </w:tr>
      <w:tr>
        <w:tc>
          <w:tcPr>
            <w:tcW w:type="dxa" w:w="1512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场景覆盖</w:t>
            </w:r>
          </w:p>
        </w:tc>
        <w:tc>
          <w:tcPr>
            <w:tcW w:type="dxa" w:w="6264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90天不少于30个有效班次，覆盖产供销重排、公辅波动吸收和设备趋势复核。</w:t>
            </w:r>
          </w:p>
        </w:tc>
        <w:tc>
          <w:tcPr>
            <w:tcW w:type="dxa" w:w="144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必过</w:t>
            </w:r>
          </w:p>
        </w:tc>
      </w:tr>
      <w:tr>
        <w:tc>
          <w:tcPr>
            <w:tcW w:type="dxa" w:w="1512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效果观察</w:t>
            </w:r>
          </w:p>
        </w:tc>
        <w:tc>
          <w:tcPr>
            <w:tcW w:type="dxa" w:w="6264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按双方冻结口径比较数据完整率、调度用时、订单满足率、库存偏差、单位氨变动成本和提示提前量。</w:t>
            </w:r>
          </w:p>
        </w:tc>
        <w:tc>
          <w:tcPr>
            <w:tcW w:type="dxa" w:w="144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基线确认后评价</w:t>
            </w:r>
          </w:p>
        </w:tc>
      </w:tr>
    </w:tbl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255"/>
        <w:gridCol w:w="3255"/>
        <w:gridCol w:w="3255"/>
      </w:tblGrid>
      <w:tr>
        <w:tc>
          <w:tcPr>
            <w:tcW w:type="dxa" w:w="1944"/>
            <w:shd w:fill="EAF2F8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b/>
              </w:rPr>
              <w:t>指标</w:t>
            </w:r>
          </w:p>
        </w:tc>
        <w:tc>
          <w:tcPr>
            <w:tcW w:type="dxa" w:w="5832"/>
            <w:shd w:fill="EAF2F8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b/>
              </w:rPr>
              <w:t>定义稿口径</w:t>
            </w:r>
          </w:p>
        </w:tc>
        <w:tc>
          <w:tcPr>
            <w:tcW w:type="dxa" w:w="1440"/>
            <w:shd w:fill="EAF2F8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b/>
              </w:rPr>
              <w:t>目标</w:t>
            </w:r>
          </w:p>
        </w:tc>
      </w:tr>
      <w:tr>
        <w:tc>
          <w:tcPr>
            <w:tcW w:type="dxa" w:w="1944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数据可用率</w:t>
            </w:r>
          </w:p>
        </w:tc>
        <w:tc>
          <w:tcPr>
            <w:tcW w:type="dxa" w:w="5832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新鲜度窗口内且质量状态合格的必需记录数 / 应到必需记录数</w:t>
            </w:r>
          </w:p>
        </w:tc>
        <w:tc>
          <w:tcPr>
            <w:tcW w:type="dxa" w:w="144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不低于98%</w:t>
            </w:r>
          </w:p>
        </w:tc>
      </w:tr>
      <w:tr>
        <w:tc>
          <w:tcPr>
            <w:tcW w:type="dxa" w:w="1944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物料平衡残差</w:t>
            </w:r>
          </w:p>
        </w:tc>
        <w:tc>
          <w:tcPr>
            <w:tcW w:type="dxa" w:w="5832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|期初可用量+期间产量+外采-各去向-期末可用量| / (期初可用量+期间产量+外采)</w:t>
            </w:r>
          </w:p>
        </w:tc>
        <w:tc>
          <w:tcPr>
            <w:tcW w:type="dxa" w:w="144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不高于1.5%</w:t>
            </w:r>
          </w:p>
        </w:tc>
      </w:tr>
      <w:tr>
        <w:tc>
          <w:tcPr>
            <w:tcW w:type="dxa" w:w="1944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快照重算P95</w:t>
            </w:r>
          </w:p>
        </w:tc>
        <w:tc>
          <w:tcPr>
            <w:tcW w:type="dxa" w:w="5832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合格输入快照冻结至方案、约束证据和测算明细生成完成的95分位耗时，不含人工确认</w:t>
            </w:r>
          </w:p>
        </w:tc>
        <w:tc>
          <w:tcPr>
            <w:tcW w:type="dxa" w:w="144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不高于120秒</w:t>
            </w:r>
          </w:p>
        </w:tc>
      </w:tr>
      <w:tr>
        <w:tc>
          <w:tcPr>
            <w:tcW w:type="dxa" w:w="1944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调度决策中位耗时缩短</w:t>
            </w:r>
          </w:p>
        </w:tc>
        <w:tc>
          <w:tcPr>
            <w:tcW w:type="dxa" w:w="5832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1-试点同类场景决策中位耗时/基线中位耗时</w:t>
            </w:r>
          </w:p>
        </w:tc>
        <w:tc>
          <w:tcPr>
            <w:tcW w:type="dxa" w:w="144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不低于30%</w:t>
            </w:r>
          </w:p>
        </w:tc>
      </w:tr>
    </w:tbl>
    <w:p>
      <w:r>
        <w:rPr>
          <w:rFonts w:ascii="Calibri" w:hAnsi="Calibri" w:eastAsia="Microsoft YaHei"/>
        </w:rPr>
        <w:t>四项目标是试点定义稿，不表示当前已达成。指标口径在30天数据校核后由企业冻结；没有同口径基线、真实执行回传或归因记录时，不给出节约金额、准确率或投资回报结论。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123" w:right="1238" w:bottom="1123" w:left="1238" w:header="547" w:footer="547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Calibri" w:hAnsi="Calibri" w:eastAsia="Microsoft YaHei"/>
        <w:color w:val="5A6976"/>
        <w:sz w:val="17"/>
      </w:rPr>
      <w:t>氨智领航调控师 | 合成氨生产调度专家平台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83" w:lineRule="auto" w:after="100"/>
    </w:pPr>
    <w:rPr>
      <w:rFonts w:ascii="Calibri" w:hAnsi="Calibri" w:eastAsia="Microsoft YaHe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00" w:after="100"/>
      <w:outlineLvl w:val="0"/>
    </w:pPr>
    <w:rPr>
      <w:rFonts w:asciiTheme="majorHAnsi" w:eastAsiaTheme="majorEastAsia" w:hAnsiTheme="majorHAnsi" w:cstheme="majorBidi" w:ascii="Calibri" w:hAnsi="Calibri" w:eastAsia="Microsoft YaHei"/>
      <w:b/>
      <w:bCs/>
      <w:color w:val="184E77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00"/>
      <w:outlineLvl w:val="1"/>
    </w:pPr>
    <w:rPr>
      <w:rFonts w:asciiTheme="majorHAnsi" w:eastAsiaTheme="majorEastAsia" w:hAnsiTheme="majorHAnsi" w:cstheme="majorBidi" w:ascii="Calibri" w:hAnsi="Calibri" w:eastAsia="Microsoft YaHei"/>
      <w:b/>
      <w:bCs/>
      <w:color w:val="184E77"/>
      <w:sz w:val="25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/>
      <w:outlineLvl w:val="2"/>
    </w:pPr>
    <w:rPr>
      <w:rFonts w:asciiTheme="majorHAnsi" w:eastAsiaTheme="majorEastAsia" w:hAnsiTheme="majorHAnsi" w:cstheme="majorBidi" w:ascii="Calibri" w:hAnsi="Calibri" w:eastAsia="Microsoft YaHei"/>
      <w:b/>
      <w:bCs/>
      <w:color w:val="184E77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