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整体解决方案书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调控师工作台：从影子运行到人机协同闭环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本方案把合成氨装置视为多约束、多目标、滚动优化的生产经营系统。AI 的角色不是替代班长，而是担任“调控师副驾驶”：在安全边界内汇总数据、识别约束、生成方案、解释风险，并把采纳与偏差沉淀为知识。</w:t>
      </w:r>
    </w:p>
    <w:p>
      <w:pPr>
        <w:pStyle w:val="Heading1"/>
      </w:pPr>
      <w:r>
        <w:t>2. 首批试点范围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范围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先做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暂不做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合成氨、液氨库存、尿浆/复合肥需求联动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全厂所有装置一次性纳入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MES、ERP、DCS 摘要点、罐区、设备健康评分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全量秒级点位接入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排产建议、交接摘要、复盘记录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自动开停车或直接写控制参数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采纳方案的实际差额收益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把市场行情自然波动算作 AI 收益</w:t>
            </w:r>
          </w:p>
        </w:tc>
      </w:tr>
    </w:tbl>
    <w:p>
      <w:pPr>
        <w:pStyle w:val="Heading1"/>
      </w:pPr>
      <w:r>
        <w:t>3. 合成氨超级数字员工能力矩阵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功能模块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运行闭环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实时感知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氢氮比、合成塔温升、循环压缩机、液氨库存、下游用氨统一采集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形成合成氨班次事实表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吨氨寻优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吨氨成本雷达、稳氨/保供/护机三案、合成回路约束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识别隐藏成本白银和真金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敏捷指挥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合成氨调控师指令窗口、交接摘要、审批链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人工确认后下达合成负荷计划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合成负荷偏差、氢氮比偏差、液氨库存、吨氨能耗结果跟踪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自动生成复盘样本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合成负荷指令库、异常经验库、未采纳原因标签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沉淀合成氨专家知识和场景规则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自我迭代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周度校准、规则修订、高风险样本复盘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根据实际生产持续升级</w:t>
            </w:r>
          </w:p>
        </w:tc>
      </w:tr>
    </w:tbl>
    <w:p>
      <w:pPr>
        <w:pStyle w:val="Heading1"/>
      </w:pPr>
      <w:r>
        <w:t>4. 系统架构</w:t>
      </w:r>
    </w:p>
    <w:p>
      <w:pPr>
        <w:pStyle w:val="ListBullet"/>
      </w:pPr>
      <w:r>
        <w:rPr>
          <w:rFonts w:ascii="Calibri" w:hAnsi="Calibri" w:eastAsia="Microsoft YaHei"/>
        </w:rPr>
        <w:t>数据层：形成班次事实表，包含计划、订单、库存、负荷、能耗、设备、异常和审批记录。</w:t>
      </w:r>
    </w:p>
    <w:p>
      <w:pPr>
        <w:pStyle w:val="ListBullet"/>
      </w:pPr>
      <w:r>
        <w:rPr>
          <w:rFonts w:ascii="Calibri" w:hAnsi="Calibri" w:eastAsia="Microsoft YaHei"/>
        </w:rPr>
        <w:t>预测层：滚动预测订单压力、库存水位、能源窗口、设备健康和市场波动。</w:t>
      </w:r>
    </w:p>
    <w:p>
      <w:pPr>
        <w:pStyle w:val="ListBullet"/>
      </w:pPr>
      <w:r>
        <w:rPr>
          <w:rFonts w:ascii="Calibri" w:hAnsi="Calibri" w:eastAsia="Microsoft YaHei"/>
        </w:rPr>
        <w:t>约束层：把合成塔、压缩机、罐区、蒸汽平衡、安全库存、环保指标作为硬边界。</w:t>
      </w:r>
    </w:p>
    <w:p>
      <w:pPr>
        <w:pStyle w:val="ListBullet"/>
      </w:pPr>
      <w:r>
        <w:rPr>
          <w:rFonts w:ascii="Calibri" w:hAnsi="Calibri" w:eastAsia="Microsoft YaHei"/>
        </w:rPr>
        <w:t>优化层：输出稳态、冲刺、保守三套方案，并进行订单、库存、能耗和风险权衡。</w:t>
      </w:r>
    </w:p>
    <w:p>
      <w:pPr>
        <w:pStyle w:val="ListBullet"/>
      </w:pPr>
      <w:r>
        <w:rPr>
          <w:rFonts w:ascii="Calibri" w:hAnsi="Calibri" w:eastAsia="Microsoft YaHei"/>
        </w:rPr>
        <w:t>解释层：生成班前会摘要、风险解释、备选方案和班后复盘要点。</w:t>
      </w:r>
    </w:p>
    <w:p>
      <w:pPr>
        <w:pStyle w:val="ListBullet"/>
      </w:pPr>
      <w:r>
        <w:rPr>
          <w:rFonts w:ascii="Calibri" w:hAnsi="Calibri" w:eastAsia="Microsoft YaHei"/>
        </w:rPr>
        <w:t>治理层：记录输入快照、模型版本、审批人、采纳原因、执行偏差和回滚条件。</w:t>
      </w:r>
    </w:p>
    <w:p>
      <w:pPr>
        <w:pStyle w:val="Heading1"/>
      </w:pPr>
      <w:r>
        <w:t>5. 接口与数据清单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首批字段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频率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日计划、班次产量、执行偏差、偏差原因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班次/小时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计划与实际对比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ERP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订单、交期、价格口径、客户优先级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日/订单变更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订单优先级与延期成本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DCS historian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负荷、温度、压力、流量、电耗、蒸汽摘要点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5-15 分钟聚合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装置边界判断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罐区系统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液氨库存、罐区压力、装车窗口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分钟/小时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库存和外售约束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EAM/点检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设备健康评分、检修计划、异常工单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日/事件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设备风险约束</w:t>
            </w:r>
          </w:p>
        </w:tc>
      </w:tr>
    </w:tbl>
    <w:p>
      <w:pPr>
        <w:pStyle w:val="Heading1"/>
      </w:pPr>
      <w:r>
        <w:t>6. 30/60/90 天落地路线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时间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30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跑通班次事实表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接口清单、数据质量报告、口径确认表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关键字段完整率达标，调度确认口径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60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每班三套建议、未采纳原因记录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覆盖主要场景，调度员愿意看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90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小闭环复盘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收益归因、规则库、上线边界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至少一项指标稳定改善或明确终止原因</w:t>
            </w:r>
          </w:p>
        </w:tc>
      </w:tr>
    </w:tbl>
    <w:p>
      <w:pPr>
        <w:pStyle w:val="Heading1"/>
      </w:pPr>
      <w:r>
        <w:t>7. 验收和停用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通过条件：高优订单满足率不低于人工排产，且单位氨能耗、库存占用、调度耗时或异常预警至少一项改善。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 15 分钟、核心点位缺失、模型连续两天偏差超阈值或安环红线接近且无法解释。</w:t>
      </w:r>
    </w:p>
    <w:p>
      <w:pPr>
        <w:pStyle w:val="ListBullet"/>
      </w:pPr>
      <w:r>
        <w:rPr>
          <w:rFonts w:ascii="Calibri" w:hAnsi="Calibri" w:eastAsia="Microsoft YaHei"/>
        </w:rPr>
        <w:t>推广条件：完成一个月影子运行、三次异常场景复盘和一份采纳/不采纳原因清单。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