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参考文献与数据依据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调度方案证据链</w:t>
      </w:r>
    </w:p>
    <w:p>
      <w:pPr>
        <w:pStyle w:val="Heading1"/>
      </w:pPr>
      <w:r>
        <w:t>1. 关键事实</w:t>
      </w:r>
    </w:p>
    <w:p>
      <w:pPr>
        <w:pStyle w:val="ListBullet"/>
      </w:pPr>
      <w:r>
        <w:rPr>
          <w:rFonts w:ascii="Calibri" w:hAnsi="Calibri" w:eastAsia="Microsoft YaHei"/>
        </w:rPr>
        <w:t>氨是氮肥生产的重要基础原料，氨行业具有显著能源消耗和碳排放特征[1][2]。</w:t>
      </w:r>
    </w:p>
    <w:p>
      <w:pPr>
        <w:pStyle w:val="ListBullet"/>
      </w:pPr>
      <w:r>
        <w:rPr>
          <w:rFonts w:ascii="Calibri" w:hAnsi="Calibri" w:eastAsia="Microsoft YaHei"/>
        </w:rPr>
        <w:t>云图控股应城基地合成氨项目与尿浆、复合肥等产品具有产业链协同价值[3][4][5]。</w:t>
      </w:r>
    </w:p>
    <w:p>
      <w:pPr>
        <w:pStyle w:val="ListBullet"/>
      </w:pPr>
      <w:r>
        <w:rPr>
          <w:rFonts w:ascii="Calibri" w:hAnsi="Calibri" w:eastAsia="Microsoft YaHei"/>
        </w:rPr>
        <w:t>柔性合成氨和 Haber-Bosch 负荷调节研究说明，连续装置的动态负荷优化具有研究基础，但必须受机理约束和现场规则限制[6][7][8]。</w:t>
      </w:r>
    </w:p>
    <w:p>
      <w:pPr>
        <w:pStyle w:val="Heading1"/>
      </w:pPr>
      <w:r>
        <w:t>2. 资料如何支撑方案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用于支撑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在方案中的体现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行业路线图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能耗、碳排、氨产业位置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能耗优化、碳强度下降、保守收益口径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云图材料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合成氨项目与下游协同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尿浆、复合肥、联碱、液氨外售统一调度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控制与优化论文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柔性负荷和 MPC 可行性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MPC + 规则库 + 人机确认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工业调度研究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数字孪生和调度控制趋势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影子运行、模型治理、异常降级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