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氨智领航调控师：面向云图合成氨装置的软件层成本优化平台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平台不是替代DCS/SIS/APC的控制系统，而是位于生产运行管理层的智能调度副驾驶。它把实时工况、订单、库存、设备健康、能源窗口和专家规则组织成班次级决策，帮助调度员在安全边界内找到吨氨综合成本更优的执行方案。</w:t>
      </w:r>
    </w:p>
    <w:p>
      <w:pPr>
        <w:pStyle w:val="Heading1"/>
      </w:pPr>
      <w:r>
        <w:t>2.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数据底座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MES、ERP、DCS historian、罐区、EAM点检、飞书记录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班次事实表、口径字典、数据质量评分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机理约束、PINN反应器校准、设备健康预测、库存/订单预测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模型版本、置信度、漂移监控、回放验证报告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优化调度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RTO经济目标、APC/MPC连续负荷建议、启发式现场规则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稳氨/保供/护机三案、风险解释、回滚条件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合成负荷指令库、异常经验库、未采纳原因库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周度规则修订、模型校准样本、经验复用清单</w:t>
            </w:r>
          </w:p>
        </w:tc>
      </w:tr>
    </w:tbl>
    <w:p>
      <w:pPr>
        <w:pStyle w:val="Heading1"/>
      </w:pPr>
      <w:r>
        <w:t>3. 现有系统对接口径（待企业确认）</w:t>
      </w:r>
    </w:p>
    <w:p>
      <w:r>
        <w:rPr>
          <w:rFonts w:ascii="Calibri" w:hAnsi="Calibri" w:eastAsia="Microsoft YaHei"/>
        </w:rPr>
        <w:t>企业导师补充了云图现场正在使用或建设中的关键系统。决赛方案据此把AI调控师定位为现有商业软件之上的“跨系统调度编排层”，不重做DCS、MES、APC或压机软件，而是理清各系统主要功能、数据流向和写回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现场系统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主要作用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AI调控师边界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运行管理层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MES与合成氨调控平台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承接日计划、班次执行、交接摘要、负荷调整记录和复盘闭环。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审批通过后只写计划摘要、交接说明和复盘结果。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数据采集层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读取负荷、温度、压力、流量、电耗、蒸汽、罐区等实时/准实时数据。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作为AI调控师的只读事实源，不替代DCS控制。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完成合成氨主装置的局部回路控制、顺控、报警和联锁保护。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AI只读DCS historian摘要，不直接写控制参数。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热电与公辅控制层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和利时DCS与热电APC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提供蒸汽、电力、公辅负荷、管网约束和热电优化结果。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读取热电APC约束余量和能耗窗口，生成跨装置调度建议。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机组与压机层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SMC压机软件、康迪森机组数据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提供离心压缩机、气轮机驱动系统、关键机组健康和弱信号趋势。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用于设备护机、弱信号预警和特殊停机取舍，不直接触发开停车。</w:t>
            </w:r>
          </w:p>
        </w:tc>
      </w:tr>
    </w:tbl>
    <w:p>
      <w:pPr>
        <w:pStyle w:val="ListBullet"/>
      </w:pPr>
      <w:r>
        <w:rPr>
          <w:rFonts w:ascii="Calibri" w:hAnsi="Calibri" w:eastAsia="Microsoft YaHei"/>
        </w:rPr>
        <w:t>MES与合成氨调控平台：导师口述合成氨调控平台为“海尔豪斯”，具体厂商名称待企业确认。</w:t>
      </w:r>
    </w:p>
    <w:p>
      <w:pPr>
        <w:pStyle w:val="ListBullet"/>
      </w:pPr>
      <w:r>
        <w:rPr>
          <w:rFonts w:ascii="Calibri" w:hAnsi="Calibri" w:eastAsia="Microsoft YaHei"/>
        </w:rPr>
        <w:t>IoT平台：采集合成氨DCS底层数据，形成可供上层系统读取的过程数据底座。</w:t>
      </w:r>
    </w:p>
    <w:p>
      <w:pPr>
        <w:pStyle w:val="ListBullet"/>
      </w:pPr>
      <w:r>
        <w:rPr>
          <w:rFonts w:ascii="Calibri" w:hAnsi="Calibri" w:eastAsia="Microsoft YaHei"/>
        </w:rPr>
        <w:t>合成氨DCS：导师口述为中控体系，具体名称待企业确认。</w:t>
      </w:r>
    </w:p>
    <w:p>
      <w:pPr>
        <w:pStyle w:val="ListBullet"/>
      </w:pPr>
      <w:r>
        <w:rPr>
          <w:rFonts w:ascii="Calibri" w:hAnsi="Calibri" w:eastAsia="Microsoft YaHei"/>
        </w:rPr>
        <w:t>和利时DCS与热电APC：热电侧采用和利时DCS，并已有APC先进控制用于热电管网优化。</w:t>
      </w:r>
    </w:p>
    <w:p>
      <w:pPr>
        <w:pStyle w:val="ListBullet"/>
      </w:pPr>
      <w:r>
        <w:rPr>
          <w:rFonts w:ascii="Calibri" w:hAnsi="Calibri" w:eastAsia="Microsoft YaHei"/>
        </w:rPr>
        <w:t>SMC压机软件、康迪森机组数据：导师口述机组数据已接入和利时平台，具体点位清单待企业确认。</w:t>
      </w:r>
    </w:p>
    <w:p>
      <w:pPr>
        <w:pStyle w:val="Heading1"/>
      </w:pPr>
      <w:r>
        <w:t>4. 飞书功能模块在方案中的位置</w:t>
      </w:r>
    </w:p>
    <w:p>
      <w:r>
        <w:rPr>
          <w:rFonts w:ascii="Calibri" w:hAnsi="Calibri" w:eastAsia="Microsoft YaHei"/>
        </w:rPr>
        <w:t>飞书不是附加展示入口，而是本方案把算法建议变成现场执行、责任留痕和知识迭代的组织操作层。合成氨调度建议只有进入当班群、审批链、任务监督和复盘库，才真正回应命题提出的指挥效率与知识传承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把目标负荷、风险指数、触发约束、收益口径和确认按钮推送到当班调度群。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高风险升降负荷、护机降负荷、液氨库存越界处置进入班长/主管/安环确认。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approval_instance、approval_status、rollback_condition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采纳后自动生成跟踪任务，提醒核对DCS historian实际负荷、复盘收益归因和补充异常说明。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Aily问答/事件回调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调度寻优解释与自迭代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调度员追问方案理由；卡片点击、审批结果和复盘提交通过回调写入知识库。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5.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RTO侧：平台把天然气/煤气化、蒸汽、电力、液氨库存占用、订单延期和外售机会成本转化为经济目标，供实时优化或离线回放使用。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PINN/机理侧：以合成塔热平衡、反应器温升、氢氮比、循环气量、压缩机效率作为模型约束，避免纯数据模型给出现场不可执行的方案。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6.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企业收益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订单冲刺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尿素溶液/复合肥用氨急单、液氨库存偏低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提高合成回路负荷，压缩弹性外售，优先保障高优订单。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减少延期与跨单元等待。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蒸汽/电力/原料窗口价格上行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高价窗口压产，低价窗口补库存，保持安全库存。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降低吨氨边际能耗成本。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设备护机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循环压缩机健康评分下降或合成塔温升异常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降低负荷上限，插入点检窗口，冻结激进方案。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降低非计划停车风险。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低置信降级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关键点位延迟、订单口径不一致、模型漂移超阈值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只给规则提醒，不回写计划，进入人工确认。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保证系统可信边界。</w:t>
            </w:r>
          </w:p>
        </w:tc>
      </w:tr>
    </w:tbl>
    <w:p>
      <w:pPr>
        <w:pStyle w:val="Heading1"/>
      </w:pPr>
      <w:r>
        <w:t>7. 跨装置联动的调度优先级</w:t>
      </w:r>
    </w:p>
    <w:p>
      <w:r>
        <w:rPr>
          <w:rFonts w:ascii="Calibri" w:hAnsi="Calibri" w:eastAsia="Microsoft YaHei"/>
        </w:rPr>
        <w:t>企业导师补充的关键现场经验是：合成氨调度不能只看当班利润，必须先保安全，再保流程连续，只有在流程确实需要中断时才进入特殊取舍。DCS可以完成液位、阀门、局部顺控和联锁保护，但难以自动判断下游异常、气区设备、能源窗口和产品结构变化后的跨大单元联动，因此本方案把这部分做成AI调控师的规则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判断口径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留痕与边界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1. 安全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安环红线、SIS/DCS联锁、罐区压力、压缩机/合成塔风险接近阈值。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冻结增产和高收益方案，只保留降风险、稳流程、人工确认动作。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不绕过DCS/SIS；触发原因进入审批和班后复盘。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2. 流程不中断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气化、净化、合成、空分、气轮机驱动系统和液氨去向的连续性。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优先做跨装置负荷联动，减少停车后重启时间、废料、人员和物料损失。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输出重启成本、废料成本、影响范围和回滚条件。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3. 特殊取舍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流程确需中断时，比较停空分、停合成气轮机或停下游装置的代价。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按安全、重启复杂度、废料损失、对主流程影响排序；已验证同类场景优先保气轮机驱动关键系统，停空分方案需班长/主管确认。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作为专家规则，不做前端自动执行；每次结果回写知识库。</w:t>
            </w:r>
          </w:p>
        </w:tc>
      </w:tr>
    </w:tbl>
    <w:p>
      <w:pPr>
        <w:pStyle w:val="Heading1"/>
      </w:pPr>
      <w:r>
        <w:t>8.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统一数据口径和班次事实表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接口清单、字段字典、数据质量报告、飞书协同草案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关键字段完整、调度员能核对口径。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影子运行对比人工调度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每班三案、采纳/未采纳原因、回放报告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覆盖早晚班、急单、库存偏低、设备护机场景。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低风险小闭环验收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审批链、MES计划回写、班后复盘、规则库版本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至少一项收益指标稳定改善或形成明确停用依据。</w:t>
            </w:r>
          </w:p>
        </w:tc>
      </w:tr>
    </w:tbl>
    <w:p>
      <w:pPr>
        <w:pStyle w:val="Heading1"/>
      </w:pPr>
      <w:r>
        <w:t>9. 验收与停用条件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通过条件：高优订单满足率不低于人工调度；单位氨能耗、库存占用、调度耗时或异常预警提前量至少一项稳定改善。</w:t>
      </w:r>
    </w:p>
    <w:p>
      <w:pPr>
        <w:pStyle w:val="ListBullet"/>
      </w:pPr>
      <w:r>
        <w:rPr>
          <w:rFonts w:ascii="Calibri" w:hAnsi="Calibri" w:eastAsia="Microsoft YaHei"/>
        </w:rPr>
        <w:t>收益口径：只核算被采纳且实际执行的方案，剔除市场行情自然波动、检修计划、物流异常等外部影响。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停用条件：关键数据延迟超过15分钟、核心点位缺失、模型连续两天偏差超阈值、安环红线接近且无法解释。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