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Microsoft YaHei"/>
          <w:b/>
          <w:color w:val="000000"/>
          <w:sz w:val="44"/>
        </w:rPr>
        <w:t>参考文献与数据依据</w:t>
      </w:r>
    </w:p>
    <w:p>
      <w:pPr>
        <w:spacing w:after="320"/>
        <w:jc w:val="center"/>
      </w:pPr>
      <w:r>
        <w:rPr>
          <w:rFonts w:ascii="Calibri" w:hAnsi="Calibri" w:eastAsia="Microsoft YaHei"/>
          <w:color w:val="505050"/>
          <w:sz w:val="22"/>
        </w:rPr>
        <w:t>合成氨 AI 调度方案证据链</w:t>
      </w:r>
    </w:p>
    <w:p>
      <w:pPr>
        <w:pStyle w:val="Heading1"/>
      </w:pPr>
      <w:r>
        <w:t>1. 关键事实</w:t>
      </w:r>
    </w:p>
    <w:p>
      <w:pPr>
        <w:pStyle w:val="ListBullet"/>
      </w:pPr>
      <w:r>
        <w:rPr>
          <w:rFonts w:ascii="Calibri" w:hAnsi="Calibri" w:eastAsia="Microsoft YaHei"/>
        </w:rPr>
        <w:t>氨是氮肥生产的重要基础原料，氨行业具有显著能源消耗和碳排放特征[1][2]。</w:t>
      </w:r>
    </w:p>
    <w:p>
      <w:pPr>
        <w:pStyle w:val="ListBullet"/>
      </w:pPr>
      <w:r>
        <w:rPr>
          <w:rFonts w:ascii="Calibri" w:hAnsi="Calibri" w:eastAsia="Microsoft YaHei"/>
        </w:rPr>
        <w:t>云图控股应城基地合成氨项目与尿浆、复合肥等产品具有产业链协同价值[3][4][5]。</w:t>
      </w:r>
    </w:p>
    <w:p>
      <w:pPr>
        <w:pStyle w:val="ListBullet"/>
      </w:pPr>
      <w:r>
        <w:rPr>
          <w:rFonts w:ascii="Calibri" w:hAnsi="Calibri" w:eastAsia="Microsoft YaHei"/>
        </w:rPr>
        <w:t>柔性合成氨和 Haber-Bosch 负荷调节研究说明，连续装置的动态负荷优化具有研究基础，但必须受机理约束和现场规则限制[6][7][8]。</w:t>
      </w:r>
    </w:p>
    <w:p>
      <w:pPr>
        <w:pStyle w:val="ListBullet"/>
      </w:pPr>
      <w:r>
        <w:rPr>
          <w:rFonts w:ascii="Calibri" w:hAnsi="Calibri" w:eastAsia="Microsoft YaHei"/>
        </w:rPr>
        <w:t>工业 AI 先进架构可作为支撑方法，但必须落到合成氨的氢氮比、合成塔、循环压缩机、液氨库存等对象上[9]。</w:t>
      </w:r>
    </w:p>
    <w:p>
      <w:pPr>
        <w:pStyle w:val="ListBullet"/>
      </w:pPr>
      <w:r>
        <w:rPr>
          <w:rFonts w:ascii="Calibri" w:hAnsi="Calibri" w:eastAsia="Microsoft YaHei"/>
        </w:rPr>
        <w:t>石化和化工数字化成熟度要求强调生产平衡经验库、调度指令库、异常处置经验库、自动生成调度指令并跟踪执行结果，可支撑合成氨知识库闭环设计[10]。</w:t>
      </w:r>
    </w:p>
    <w:p>
      <w:pPr>
        <w:pStyle w:val="Heading1"/>
      </w:pPr>
      <w:r>
        <w:t>2. 资料如何支撑方案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资料类型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用于支撑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r>
              <w:rPr>
                <w:rFonts w:ascii="Calibri" w:hAnsi="Calibri" w:eastAsia="Microsoft YaHei"/>
                <w:b/>
              </w:rPr>
              <w:t>在方案中的体现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行业路线图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能耗、碳排、氨产业位置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能耗优化、碳强度下降、保守收益口径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云图材料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合成氨项目与下游协同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尿浆、复合肥、联碱、液氨外售统一调度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控制与优化论文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柔性负荷和 MPC 可行性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MPC + 规则库 + 人机确认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工业调度研究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数字孪生和调度控制趋势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影子运行、模型治理、异常降级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工业 AI 指南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智能体、数字孪生、知识闭环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作为合成氨 AI 调控师的技术支撑，而非泛化主题</w:t>
            </w:r>
          </w:p>
        </w:tc>
      </w:tr>
      <w:tr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化工成熟度要求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生产平衡经验库、调度指令库、执行反馈</w:t>
            </w:r>
          </w:p>
        </w:tc>
        <w:tc>
          <w:tcPr>
            <w:tcW w:type="dxa" w:w="41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9"/>
              </w:rPr>
              <w:t>支撑合成氨执行监督闭环和知识库沉淀</w:t>
            </w:r>
          </w:p>
        </w:tc>
      </w:tr>
    </w:tbl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https://www.iea.org/reports/ammonia-technology-roadmap</w:t>
      </w:r>
    </w:p>
    <w:p>
      <w:r>
        <w:rPr>
          <w:rFonts w:ascii="Calibri" w:hAnsi="Calibri" w:eastAsia="Microsoft YaHei"/>
        </w:rPr>
        <w:t>[2] IEA. Ammonia Technology Roadmap: Executive Summary. https://www.iea.org/reports/ammonia-technology-roadmap/executive-summary</w:t>
      </w:r>
    </w:p>
    <w:p>
      <w:r>
        <w:rPr>
          <w:rFonts w:ascii="Calibri" w:hAnsi="Calibri" w:eastAsia="Microsoft YaHei"/>
        </w:rPr>
        <w:t>[3] 成都云图控股股份有限公司. 2025 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云图控股研究报告. 合成氨、磷矿等新产能落地或助力公司成长. https://www.wintrueholding.com/static/upload/file/20260417/1776394254161882.pdf</w:t>
      </w:r>
    </w:p>
    <w:p>
      <w:r>
        <w:rPr>
          <w:rFonts w:ascii="Calibri" w:hAnsi="Calibri" w:eastAsia="Microsoft YaHei"/>
        </w:rPr>
        <w:t>[6]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[7] ACS Industrial &amp; Engineering Chemistry Research. Dynamic Simulation and Optimization for Load Regulation of the Haber-Bosch Process. https://pubs.acs.org/doi/10.1021/acs.iecr.4c02410</w:t>
      </w:r>
    </w:p>
    <w:p>
      <w:r>
        <w:rPr>
          <w:rFonts w:ascii="Calibri" w:hAnsi="Calibri" w:eastAsia="Microsoft YaHei"/>
        </w:rPr>
        <w:t>[8] AIChE 2025 Annual Meeting. Scheduling and Control of Green Ammonia Plants. https://aiche.confex.com/aiche/2025/meetingapp.cgi/Paper/710466</w:t>
      </w:r>
    </w:p>
    <w:p>
      <w:r>
        <w:rPr>
          <w:rFonts w:ascii="Calibri" w:hAnsi="Calibri" w:eastAsia="Microsoft YaHei"/>
        </w:rPr>
        <w:t>[9] 中国信息通信研究院、华为等. 工业与AI融合应用指南. https://www-file.huawei.com/dam/asset/view/dda7ee674ced41d4bb989b365ea0a028.pdf</w:t>
      </w:r>
    </w:p>
    <w:p>
      <w:r>
        <w:rPr>
          <w:rFonts w:ascii="Calibri" w:hAnsi="Calibri" w:eastAsia="Microsoft YaHei"/>
        </w:rPr>
        <w:t>[10] HG/T 6346—2025. 石化和化工行业数字化转型成熟度模型与评估相关资料. https://gxt.gansu.gov.cn/gxt/c126826/202511/174237249/files/99bb56ef71d347248ae58125b2e12aee.pdf</w:t>
      </w:r>
    </w:p>
    <w:p>
      <w:r>
        <w:rPr>
          <w:rFonts w:ascii="Calibri" w:hAnsi="Calibri" w:eastAsia="Microsoft YaHei"/>
        </w:rPr>
        <w:t>[11] 成都云图控股股份有限公司. 关于全资子公司 70 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[12] AQ/T 3017—2008.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[13] 合成氨行业规范条件. 工业和信息化部相关资料. https://file.smejs.cn/group1/M00/05/1F/rBIAAWUvo0OAbXwqAAUaBh6SZ0U730.pdf</w:t>
      </w:r>
    </w:p>
    <w:p>
      <w:r>
        <w:rPr>
          <w:rFonts w:ascii="Calibri" w:hAnsi="Calibri" w:eastAsia="Microsoft YaHei"/>
        </w:rPr>
        <w:t>[14]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[15] 应急管理部办公厅. “工业互联网+危化安全生产”试点建设方案.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[16] GB 17681—2024. 危险化学品重大危险源安全监控技术规范相关资料. https://sjj.ganzhou.gov.cn/c101840/202506/e42a2cfd5c894799b899a30fcb927f06/files/b133fc57bfa64bd3a7beeee6ce6ca38e.pdf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96" w:bottom="1224" w:left="1296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787878"/>
        <w:sz w:val="18"/>
      </w:rPr>
      <w:t>仅用于参赛方案与试点论证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5A5A"/>
        <w:sz w:val="18"/>
      </w:rPr>
      <w:t>合成氨 AI 生产调度专家 | 提交材料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