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YaHei"/>
          <w:b/>
          <w:color w:val="0D1F30"/>
          <w:sz w:val="42"/>
        </w:rPr>
        <w:t>提交信息汇总</w:t>
      </w:r>
    </w:p>
    <w:p>
      <w:pPr>
        <w:spacing w:after="300"/>
        <w:jc w:val="center"/>
      </w:pPr>
      <w:r>
        <w:rPr>
          <w:rFonts w:ascii="Calibri" w:hAnsi="Calibri" w:eastAsia="Microsoft YaHei"/>
          <w:color w:val="5A6976"/>
          <w:sz w:val="21"/>
        </w:rPr>
        <w:t>用于在线表单填写与附件核对</w:t>
      </w:r>
    </w:p>
    <w:p>
      <w:pPr>
        <w:pStyle w:val="Heading1"/>
      </w:pPr>
      <w:r>
        <w:t>开题报告Part 1</w:t>
      </w:r>
    </w:p>
    <w:p>
      <w:r>
        <w:rPr>
          <w:rFonts w:ascii="Calibri" w:hAnsi="Calibri" w:eastAsia="Microsoft YaHei"/>
        </w:rPr>
        <w:t>本命题考察的不是再造一块展示看板，而是在合成氨硬件单位成本已接近极限后，能否用AI把运行管理中的“软件成本”继续压低。云图应城合成氨装置连接尿素溶液、复合肥、联碱配套、液氨库存与外售，调度同时受合成塔床层温升、氢氮比、循环压缩机、罐区安全库存、能源价格、下游订单和设备健康约束。真正有价值的方案应能进入班组日常：实时感知、多方案寻优、解释安全边界、推动确认执行、沉淀采纳与未采纳原因，逐步形成可传承的合成氨调度知识资产。（约210字）</w:t>
      </w:r>
    </w:p>
    <w:p>
      <w:pPr>
        <w:pStyle w:val="Heading1"/>
      </w:pPr>
      <w:r>
        <w:t>开题报告Part 2</w:t>
      </w:r>
    </w:p>
    <w:p>
      <w:r>
        <w:rPr>
          <w:rFonts w:ascii="Calibri" w:hAnsi="Calibri" w:eastAsia="Microsoft YaHei"/>
        </w:rPr>
        <w:t>本方案建设“氨智领航调控师”，定位为合成氨当班调度副驾驶。平台先以30天打通MES日计划、ERP订单、DCS historian摘要、液氨罐区、EAM点检、能源价格与飞书协同记录，形成班次事实表；60天进入影子运行，滚动输出稳氨、保供、护机三案，每案列明目标负荷、下游分配、吨氨边际成本、风险指数、审批路径和回滚条件；90天只在低风险场景做小闭环验收。模型层采用机理约束+RTO经济目标+APC/MPC连续负荷建议+PINN反应器校准的组合，确保算法能与企业现有控制体系对话。组织层接入飞书互动卡片、审批、多维表格和班后复盘，保留谁确认、谁驳回、为何采纳、执行偏差如何的完整链路。知识层把每次实际方案、未采纳原因、床层温升异常、氢氮比偏差、压缩机健康变化和收益核算沉淀为知识库，周度校准模型与规则。平台不直接修改DCS/SIS控制逻辑，不自动开停车；低置信、数据延迟、安环红线接近时自动降级人工流程。（约400字）</w:t>
      </w:r>
    </w:p>
    <w:p>
      <w:pPr>
        <w:pStyle w:val="Heading1"/>
      </w:pPr>
      <w:r>
        <w:t>附件材料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82"/>
        <w:gridCol w:w="4882"/>
      </w:tblGrid>
      <w:tr>
        <w:tc>
          <w:tcPr>
            <w:tcW w:type="dxa" w:w="3024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附件</w:t>
            </w:r>
          </w:p>
        </w:tc>
        <w:tc>
          <w:tcPr>
            <w:tcW w:type="dxa" w:w="6192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b/>
              </w:rPr>
              <w:t>用途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01_开题报告.docx</w:t>
            </w:r>
          </w:p>
        </w:tc>
        <w:tc>
          <w:tcPr>
            <w:tcW w:type="dxa" w:w="6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在线表单两个必填文本框的完整版本。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02_整体解决方案书.docx</w:t>
            </w:r>
          </w:p>
        </w:tc>
        <w:tc>
          <w:tcPr>
            <w:tcW w:type="dxa" w:w="6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系统架构、APC/RTO接口、试点路径与验收边界。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03_调控师操作手册.docx</w:t>
            </w:r>
          </w:p>
        </w:tc>
        <w:tc>
          <w:tcPr>
            <w:tcW w:type="dxa" w:w="6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班组如何使用平台、飞书协同和异常降级。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04_参考文献与数据依据.docx</w:t>
            </w:r>
          </w:p>
        </w:tc>
        <w:tc>
          <w:tcPr>
            <w:tcW w:type="dxa" w:w="6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公司资料、行业资料、合成氨控制优化与安全依据。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05_方案创新与落地清单.docx</w:t>
            </w:r>
          </w:p>
        </w:tc>
        <w:tc>
          <w:tcPr>
            <w:tcW w:type="dxa" w:w="6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入围优势沉淀、决赛创新点和上线清单。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06_决赛完整方案文档.docx</w:t>
            </w:r>
          </w:p>
        </w:tc>
        <w:tc>
          <w:tcPr>
            <w:tcW w:type="dxa" w:w="6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按飞书模板结构组织的信息卡与完整方案。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07_飞书功能模块说明.docx</w:t>
            </w:r>
          </w:p>
        </w:tc>
        <w:tc>
          <w:tcPr>
            <w:tcW w:type="dxa" w:w="6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Calibri" w:hAnsi="Calibri" w:eastAsia="Microsoft YaHei"/>
                <w:sz w:val="18"/>
              </w:rPr>
              <w:t>单独说明互动卡片、审批、多维表格、任务、Aily问答与事件回调如何支撑解题。</w:t>
            </w:r>
          </w:p>
        </w:tc>
      </w:tr>
    </w:tbl>
    <w:p>
      <w:pPr>
        <w:pStyle w:val="Heading1"/>
      </w:pPr>
      <w:r>
        <w:t>链接材料</w:t>
      </w:r>
    </w:p>
    <w:p>
      <w:r>
        <w:rPr>
          <w:rFonts w:ascii="Calibri" w:hAnsi="Calibri" w:eastAsia="Microsoft YaHei"/>
        </w:rPr>
        <w:t>GitHub：https://github.com/zhijinDeng/synthesis-ammonia</w:t>
      </w:r>
    </w:p>
    <w:p>
      <w:r>
        <w:rPr>
          <w:rFonts w:ascii="Calibri" w:hAnsi="Calibri" w:eastAsia="Microsoft YaHei"/>
        </w:rPr>
        <w:t>本地平台入口：D:\云图-合成氨-邓植斤\index.html</w:t>
      </w:r>
    </w:p>
    <w:p>
      <w:r>
        <w:rPr>
          <w:rFonts w:ascii="Calibri" w:hAnsi="Calibri" w:eastAsia="Microsoft YaHei"/>
        </w:rPr>
        <w:t>飞书在线完整方案稿：https://www.feishu.cn/docx/AYyad50itooOPxxZpQacgSqIn2c</w:t>
      </w:r>
    </w:p>
    <w:p>
      <w:r>
        <w:rPr>
          <w:rFonts w:ascii="Calibri" w:hAnsi="Calibri" w:eastAsia="Microsoft YaHei"/>
        </w:rPr>
        <w:t>飞书Base调度复盘库原型：https://www.feishu.cn/base/QzENbAkl1aYQGds8dBacqu6Inue</w:t>
      </w:r>
    </w:p>
    <w:p>
      <w:r>
        <w:rPr>
          <w:rFonts w:ascii="Calibri" w:hAnsi="Calibri" w:eastAsia="Microsoft YaHei"/>
        </w:rPr>
        <w:t>飞书任务清单：https://applink.feishu.cn/client/todo/task_list?guid=2ab6c357-dfeb-4f75-9aa3-781dc7ac7244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38" w:bottom="1123" w:left="1238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A6976"/>
        <w:sz w:val="17"/>
      </w:rPr>
      <w:t>氨智领航调控师 | 合成氨生产调度专家平台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84E7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84E7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84E7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