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调控师操作手册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班组日常使用、飞书协同与异常降级</w:t>
      </w:r>
    </w:p>
    <w:p>
      <w:pPr>
        <w:pStyle w:val="Heading1"/>
      </w:pPr>
      <w:r>
        <w:t>1. 当班操作流程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时间点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现场确认</w:t>
            </w:r>
          </w:p>
        </w:tc>
        <w:tc>
          <w:tcPr>
            <w:tcW w:type="dxa" w:w="18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留痕位置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班前30分钟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刷新订单、库存、设备健康、能源窗口，生成三案。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调度员确认口径是否与MES/罐区一致。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展示与原计划差异、约束触发、审批要求和交接摘要。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班长确认采用稳氨/保供/护机方案。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班中偏差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库存、设备、订单或能价超阈值时重算。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未确认前仍按原计划执行。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重算事件表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记录采纳、未采纳、实际负荷、能耗、库存和异常原因。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班长补充经验判断。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多维表格/知识库</w:t>
            </w:r>
          </w:p>
        </w:tc>
      </w:tr>
    </w:tbl>
    <w:p>
      <w:pPr>
        <w:pStyle w:val="Heading1"/>
      </w:pPr>
      <w:r>
        <w:t>2. 飞书协同动作</w:t>
      </w:r>
    </w:p>
    <w:p>
      <w:pPr>
        <w:pStyle w:val="ListBullet"/>
      </w:pPr>
      <w:r>
        <w:rPr>
          <w:rFonts w:ascii="Calibri" w:hAnsi="Calibri" w:eastAsia="Microsoft YaHei"/>
        </w:rPr>
        <w:t>互动卡片：发送目标负荷、风险指数、触发约束、收益口径和确认按钮到合成氨当班调度群。</w:t>
      </w:r>
    </w:p>
    <w:p>
      <w:pPr>
        <w:pStyle w:val="ListBullet"/>
      </w:pPr>
      <w:r>
        <w:rPr>
          <w:rFonts w:ascii="Calibri" w:hAnsi="Calibri" w:eastAsia="Microsoft YaHei"/>
        </w:rPr>
        <w:t>审批实例：高风险负荷调整自动生成审批草稿，字段包括装置、模式、目标负荷、业务理由、风险、回滚条件。</w:t>
      </w:r>
    </w:p>
    <w:p>
      <w:pPr>
        <w:pStyle w:val="ListBullet"/>
      </w:pPr>
      <w:r>
        <w:rPr>
          <w:rFonts w:ascii="Calibri" w:hAnsi="Calibri" w:eastAsia="Microsoft YaHei"/>
        </w:rPr>
        <w:t>多维表格：沉淀班次事实、方案采纳、未采纳原因、执行偏差、复盘结论和周度校准状态。</w:t>
      </w:r>
    </w:p>
    <w:p>
      <w:pPr>
        <w:pStyle w:val="ListBullet"/>
      </w:pPr>
      <w:r>
        <w:rPr>
          <w:rFonts w:ascii="Calibri" w:hAnsi="Calibri" w:eastAsia="Microsoft YaHei"/>
        </w:rPr>
        <w:t>Aily入口：支持调度员用自然语言追问“为什么建议降负荷”“液氨库存还能撑多久”“压缩机健康下降时如何护机”。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操作节点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班组确认口径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方案生成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调控师向合成氨当班群发送互动卡片。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只看目标负荷、约束触发、风险指数、回滚条件和与原计划差异。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高风险确认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卡片按钮触发审批草稿，低风险由班长确认，高风险增加主管/安环。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未完成审批前不写MES计划摘要。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采纳方案自动生成飞书任务并列出核对清单。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核对实际负荷曲线、库存变化、能耗窗口和异常处理。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班后沉淀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复盘字段写入多维表格，未采纳原因进入知识库。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记录“为什么不采纳”与“实际执行偏差”，供周度校准。</w:t>
            </w:r>
          </w:p>
        </w:tc>
      </w:tr>
    </w:tbl>
    <w:p>
      <w:pPr>
        <w:pStyle w:val="Heading1"/>
      </w:pPr>
      <w:r>
        <w:t>3. 异常处理原则</w:t>
      </w:r>
    </w:p>
    <w:p>
      <w:pPr>
        <w:pStyle w:val="ListNumber"/>
      </w:pPr>
      <w:r>
        <w:rPr>
          <w:rFonts w:ascii="Calibri" w:hAnsi="Calibri" w:eastAsia="Microsoft YaHei"/>
        </w:rPr>
        <w:t>安全先于收益：合成塔、压缩机、罐区和安环红线一旦接近阈值，方案自动降级。</w:t>
      </w:r>
    </w:p>
    <w:p>
      <w:pPr>
        <w:pStyle w:val="ListNumber"/>
      </w:pPr>
      <w:r>
        <w:rPr>
          <w:rFonts w:ascii="Calibri" w:hAnsi="Calibri" w:eastAsia="Microsoft YaHei"/>
        </w:rPr>
        <w:t>解释先于执行：无法解释触发约束、收益来源和回滚条件的方案不得采纳。</w:t>
      </w:r>
    </w:p>
    <w:p>
      <w:pPr>
        <w:pStyle w:val="ListNumber"/>
      </w:pPr>
      <w:r>
        <w:rPr>
          <w:rFonts w:ascii="Calibri" w:hAnsi="Calibri" w:eastAsia="Microsoft YaHei"/>
        </w:rPr>
        <w:t>人工先于闭环：MVP阶段不自动开停车，不直接改DCS/SIS，不绕过既有审批链。</w:t>
      </w:r>
    </w:p>
    <w:p>
      <w:pPr>
        <w:pStyle w:val="ListNumber"/>
      </w:pPr>
      <w:r>
        <w:rPr>
          <w:rFonts w:ascii="Calibri" w:hAnsi="Calibri" w:eastAsia="Microsoft YaHei"/>
        </w:rPr>
        <w:t>复盘先于迭代：未采纳原因和实际偏差是模型升级的核心样本。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