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调控师操作手册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合成氨智能调控师工作台：班组使用与异常处置</w:t>
      </w:r>
    </w:p>
    <w:p>
      <w:pPr>
        <w:pStyle w:val="Heading1"/>
      </w:pPr>
      <w:r>
        <w:t>1. 调控师角色</w:t>
      </w:r>
    </w:p>
    <w:p>
      <w:r>
        <w:rPr>
          <w:rFonts w:ascii="Calibri" w:hAnsi="Calibri" w:eastAsia="Microsoft YaHei"/>
        </w:rPr>
        <w:t>调控师不是替代班长的自动控制系统，而是帮助当班人员在订单、库存、能耗、设备和安全边界之间快速形成可解释方案的副驾驶。所有高风险动作必须保留人工确认。</w:t>
      </w:r>
    </w:p>
    <w:p>
      <w:pPr>
        <w:pStyle w:val="Heading1"/>
      </w:pPr>
      <w:r>
        <w:t>2. 当班流程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环节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操作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输出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责任人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班前 30 分钟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刷新订单、库存、设备健康、能源窗口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稳态/冲刺/保守三套方案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调度员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班前会 10 分钟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查看差异、红线、需确认动作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交接摘要与确认项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班长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班中偏差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库存、设备、订单超阈值时重算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重算记录，不自动改控制参数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班长/调度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班后 5 分钟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记录采纳与否、实际负荷、能耗、异常原因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复盘样本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班长</w:t>
            </w:r>
          </w:p>
        </w:tc>
      </w:tr>
    </w:tbl>
    <w:p>
      <w:pPr>
        <w:pStyle w:val="Heading1"/>
      </w:pPr>
      <w:r>
        <w:t>3. 典型调控场景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执行动作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不得越界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订单冲刺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下游订单压力高，库存偏低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提高合成负荷，尿浆/复合肥优先，外售降级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不得低于安全库存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设备保守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压缩机或合成塔健康评分下降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降低负荷上限，插入点检窗口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不得为追产突破设备边界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能源错峰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高价能源窗口或蒸汽紧张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高价窗口压产，低价窗口补库存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不得影响刚性交付和安全库存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低置信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数据缺失、模型偏差或市场异常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退回规则方案和人工流程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不得自动回写 MES</w:t>
            </w:r>
          </w:p>
        </w:tc>
      </w:tr>
    </w:tbl>
    <w:p>
      <w:pPr>
        <w:pStyle w:val="Heading1"/>
      </w:pPr>
      <w:r>
        <w:t>4. 交接班摘要模板</w:t>
      </w:r>
    </w:p>
    <w:p>
      <w:pPr>
        <w:pStyle w:val="ListBullet"/>
      </w:pPr>
      <w:r>
        <w:rPr>
          <w:rFonts w:ascii="Calibri" w:hAnsi="Calibri" w:eastAsia="Microsoft YaHei"/>
        </w:rPr>
        <w:t>目标负荷：__%；运行模式：稳态/冲刺/保守。</w:t>
      </w:r>
    </w:p>
    <w:p>
      <w:pPr>
        <w:pStyle w:val="ListBullet"/>
      </w:pPr>
      <w:r>
        <w:rPr>
          <w:rFonts w:ascii="Calibri" w:hAnsi="Calibri" w:eastAsia="Microsoft YaHei"/>
        </w:rPr>
        <w:t>优先订单：尿浆/复合肥/液氨外售/联碱配套。</w:t>
      </w:r>
    </w:p>
    <w:p>
      <w:pPr>
        <w:pStyle w:val="ListBullet"/>
      </w:pPr>
      <w:r>
        <w:rPr>
          <w:rFonts w:ascii="Calibri" w:hAnsi="Calibri" w:eastAsia="Microsoft YaHei"/>
        </w:rPr>
        <w:t>关键约束：库存、压缩机、合成塔、罐区、能源窗口、环保指标。</w:t>
      </w:r>
    </w:p>
    <w:p>
      <w:pPr>
        <w:pStyle w:val="ListBullet"/>
      </w:pPr>
      <w:r>
        <w:rPr>
          <w:rFonts w:ascii="Calibri" w:hAnsi="Calibri" w:eastAsia="Microsoft YaHei"/>
        </w:rPr>
        <w:t>审批要求：班长确认/班长 + 调度主管双确认。</w:t>
      </w:r>
    </w:p>
    <w:p>
      <w:pPr>
        <w:pStyle w:val="ListBullet"/>
      </w:pPr>
      <w:r>
        <w:rPr>
          <w:rFonts w:ascii="Calibri" w:hAnsi="Calibri" w:eastAsia="Microsoft YaHei"/>
        </w:rPr>
        <w:t>未采纳原因：安全边界、设备风险、订单变化、数据不可信、经验判断。</w:t>
      </w:r>
    </w:p>
    <w:p>
      <w:pPr>
        <w:pStyle w:val="Heading1"/>
      </w:pPr>
      <w:r>
        <w:t>5. 调控师判断原则</w:t>
      </w:r>
    </w:p>
    <w:p>
      <w:pPr>
        <w:pStyle w:val="ListNumber"/>
      </w:pPr>
      <w:r>
        <w:rPr>
          <w:rFonts w:ascii="Calibri" w:hAnsi="Calibri" w:eastAsia="Microsoft YaHei"/>
        </w:rPr>
        <w:t>先安全后收益：任何收益测算都不能覆盖安环和设备硬边界。</w:t>
      </w:r>
    </w:p>
    <w:p>
      <w:pPr>
        <w:pStyle w:val="ListNumber"/>
      </w:pPr>
      <w:r>
        <w:rPr>
          <w:rFonts w:ascii="Calibri" w:hAnsi="Calibri" w:eastAsia="Microsoft YaHei"/>
        </w:rPr>
        <w:t>先小闭环后推广：一个班次链路跑通，再谈全厂协同。</w:t>
      </w:r>
    </w:p>
    <w:p>
      <w:pPr>
        <w:pStyle w:val="ListNumber"/>
      </w:pPr>
      <w:r>
        <w:rPr>
          <w:rFonts w:ascii="Calibri" w:hAnsi="Calibri" w:eastAsia="Microsoft YaHei"/>
        </w:rPr>
        <w:t>先解释后执行：无法解释触发约束的方案不得采纳。</w:t>
      </w:r>
    </w:p>
    <w:p>
      <w:pPr>
        <w:pStyle w:val="ListNumber"/>
      </w:pPr>
      <w:r>
        <w:rPr>
          <w:rFonts w:ascii="Calibri" w:hAnsi="Calibri" w:eastAsia="Microsoft YaHei"/>
        </w:rPr>
        <w:t>先复盘后迭代：未采纳原因比采纳原因更能提升模型。</w:t>
      </w:r>
    </w:p>
    <w:p>
      <w:pPr>
        <w:pStyle w:val="Heading1"/>
      </w:pPr>
      <w:r>
        <w:t>6. 网页第一次使用说明</w:t>
      </w:r>
    </w:p>
    <w:p>
      <w:r>
        <w:rPr>
          <w:rFonts w:ascii="Calibri" w:hAnsi="Calibri" w:eastAsia="Microsoft YaHei"/>
        </w:rPr>
        <w:t>网页是调度工作台的演练入口，不是DCS画面。第一次使用时先点击“稳氨”，再按“当班态势—产供销平衡—稳产预警—执行复盘”的顺序查看。页面顶部的“使用说明”提供逐项组件解释，适合向不了解合成氨的人员讲解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页面组件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它解决什么问题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第一次怎么用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结果如何理解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场景按钮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回放稳态、保供、护机、错峰等班次矛盾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点击一个场景，不要同时拖动多个滑块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只是样例条件，不是生产命令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沙盘滑块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模拟订单、能源、设备、库存和行情变化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一次调整一个变量，再看建议和事件变化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用于验证逻辑，不代表现场实时值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行情闸门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区分公开参考和企业执行价格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先读取官方参考，再由经营人员确认样例行情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未确认时冻结新的经济排序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24小时液氨平衡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核对液氨从哪里来、分给谁、期末剩多少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先看期末可用量和安全余量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预计值不能替代罐区实测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趋势证据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提前提示压机等设备需要复核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看多变量是否持续同向变化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不等于DCS报警或SIS联锁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动作单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把跨装置决定拆给责任岗位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岗位复核前置条件后记录接令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接令不等于已执行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飞书协同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承接卡片、审批、任务和复盘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先生成演示草稿，再接企业应用权限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当前原型不代表真实写回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证据包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保存输入、门禁、动作和审计记录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点击导出JSON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用于交接和验收，不自动写入生产系统</w:t>
            </w:r>
          </w:p>
        </w:tc>
      </w:tr>
    </w:tbl>
    <w:p>
      <w:pPr>
        <w:pStyle w:val="Heading1"/>
      </w:pPr>
      <w:r>
        <w:t>7. 非专业人员需要先理解的术语</w:t>
      </w:r>
    </w:p>
    <w:p>
      <w:pPr>
        <w:pStyle w:val="ListBullet"/>
      </w:pPr>
      <w:r>
        <w:rPr>
          <w:rFonts w:ascii="Calibri" w:hAnsi="Calibri" w:eastAsia="Microsoft YaHei"/>
        </w:rPr>
        <w:t>液氨：合成氨装置的主要产品，也是尿素、复合肥、硝酸、联碱等下游装置的共同原料。</w:t>
      </w:r>
    </w:p>
    <w:p>
      <w:pPr>
        <w:pStyle w:val="ListBullet"/>
      </w:pPr>
      <w:r>
        <w:rPr>
          <w:rFonts w:ascii="Calibri" w:hAnsi="Calibri" w:eastAsia="Microsoft YaHei"/>
        </w:rPr>
        <w:t>负荷：装置开到多大程度；网页中的目标负荷是建议值，不是已经执行的实际值。</w:t>
      </w:r>
    </w:p>
    <w:p>
      <w:pPr>
        <w:pStyle w:val="ListBullet"/>
      </w:pPr>
      <w:r>
        <w:rPr>
          <w:rFonts w:ascii="Calibri" w:hAnsi="Calibri" w:eastAsia="Microsoft YaHei"/>
        </w:rPr>
        <w:t>DCS：负责装置局部调节、顺控和报警；本平台不写入DCS。</w:t>
      </w:r>
    </w:p>
    <w:p>
      <w:pPr>
        <w:pStyle w:val="ListBullet"/>
      </w:pPr>
      <w:r>
        <w:rPr>
          <w:rFonts w:ascii="Calibri" w:hAnsi="Calibri" w:eastAsia="Microsoft YaHei"/>
        </w:rPr>
        <w:t>SIS：负责安全联锁和保护；本平台不绕过SIS。</w:t>
      </w:r>
    </w:p>
    <w:p>
      <w:pPr>
        <w:pStyle w:val="ListBullet"/>
      </w:pPr>
      <w:r>
        <w:rPr>
          <w:rFonts w:ascii="Calibri" w:hAnsi="Calibri" w:eastAsia="Microsoft YaHei"/>
        </w:rPr>
        <w:t>MES/ERP：MES记录生产计划和执行事实，ERP提供订单、价格和结算口径。</w:t>
      </w:r>
    </w:p>
    <w:p>
      <w:pPr>
        <w:pStyle w:val="ListBullet"/>
      </w:pPr>
      <w:r>
        <w:rPr>
          <w:rFonts w:ascii="Calibri" w:hAnsi="Calibri" w:eastAsia="Microsoft YaHei"/>
        </w:rPr>
        <w:t>Historian：保存真实生产点位和历史趋势；没有接入时不填写实际负荷、能耗和收益。</w:t>
      </w:r>
    </w:p>
    <w:p>
      <w:pPr>
        <w:pStyle w:val="ListBullet"/>
      </w:pPr>
      <w:r>
        <w:rPr>
          <w:rFonts w:ascii="Calibri" w:hAnsi="Calibri" w:eastAsia="Microsoft YaHei"/>
        </w:rPr>
        <w:t>影子运行：平台先给建议，现场仍按原流程生产，用实际结果验证建议，再决定是否小范围执行。</w:t>
      </w:r>
    </w:p>
    <w:p>
      <w:r>
        <w:rPr>
          <w:rFonts w:ascii="Calibri" w:hAnsi="Calibri" w:eastAsia="Microsoft YaHei"/>
        </w:rPr>
        <w:t>完整的逐组件说明、上手路径和常见状态处理见项目文件 docs/user-guide-for-beginners.md。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合成氨生产调度专家平台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