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 w:eastAsia="Microsoft YaHei"/>
          <w:b/>
          <w:color w:val="0D1F30"/>
          <w:sz w:val="42"/>
        </w:rPr>
        <w:t>开题报告</w:t>
      </w:r>
    </w:p>
    <w:p>
      <w:pPr>
        <w:spacing w:after="300"/>
        <w:jc w:val="center"/>
      </w:pPr>
      <w:r>
        <w:rPr>
          <w:rFonts w:ascii="Calibri" w:hAnsi="Calibri" w:eastAsia="Microsoft YaHei"/>
          <w:color w:val="5A6976"/>
          <w:sz w:val="21"/>
        </w:rPr>
        <w:t>命题：如何用AI打造合成氨生产调度专家</w:t>
      </w:r>
    </w:p>
    <w:p>
      <w:pPr>
        <w:pStyle w:val="Heading1"/>
      </w:pPr>
      <w:r>
        <w:t>Part 1：命题前置分析与洞察</w:t>
      </w:r>
    </w:p>
    <w:p>
      <w:r>
        <w:rPr>
          <w:rFonts w:ascii="Calibri" w:hAnsi="Calibri" w:eastAsia="Microsoft YaHei"/>
        </w:rPr>
        <w:t>本命题真正考察的不是再做一块合成氨看板，而是能否把产供销、装置负荷、能源、公辅、设备和班组经验贯通成一个可执行的数字调度长。企业反馈已把方向收束清楚：第一优先级是液氨有限、下游需求和市场价格变化时的产供销协同与跨装置负荷联动；第二优先级是在稳定生产中吸收下游、能源、库存波动，避免冲击主流程；第三优先级是压缩机、机组、合成塔等弱信号提前预警；底座是把调度长多年经验沉淀给新人复用。方案价值不在替代DCS，而在打通系统孤岛、解释取舍、推动执行和形成知识资产。</w:t>
      </w:r>
    </w:p>
    <w:p>
      <w:pPr>
        <w:pStyle w:val="Heading1"/>
      </w:pPr>
      <w:r>
        <w:t>Part 2：整体解决方案设计</w:t>
      </w:r>
    </w:p>
    <w:p>
      <w:r>
        <w:rPr>
          <w:rFonts w:ascii="Calibri" w:hAnsi="Calibri" w:eastAsia="Microsoft YaHei"/>
        </w:rPr>
        <w:t>本方案建设“氨智领航调控师”，定位为合成氨产供销联动数字员工。30天先打通MES/合成氨调控平台、IoT、DCS摘要、热电APC、压机/机组数据、液氨库存、下游订单、市场行情和飞书记录，形成全线事实表；60天影子运行，围绕产供销协同、稳产波动吸收、设备弱信号预警三类场景输出可解释方案；90天只在低风险场景小闭环验收。主赛道按边际贡献、固定成本吸收、液氨机会成本、停开成本和流程连续性判断“保谁、降谁、停谁、是否外采”；第二赛道在下游需求、能源、公辅、库存波动时给出跨装置负荷节奏，避免主流程被动中断；支撑底座把采纳、驳回、事故复盘、未采纳原因和班长经验沉淀为知识库和新人训练样本。平台不直接修改DCS/SIS控制逻辑，不自动开停车；低置信、数据延迟、安环红线接近时自动降级人工流程，并通过飞书卡片、审批、任务和Base复盘留痕。</w:t>
      </w:r>
    </w:p>
    <w:p>
      <w:pPr>
        <w:pStyle w:val="Heading1"/>
      </w:pPr>
      <w:r>
        <w:t>命题理解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55"/>
        <w:gridCol w:w="3255"/>
        <w:gridCol w:w="3255"/>
      </w:tblGrid>
      <w:tr>
        <w:tc>
          <w:tcPr>
            <w:tcW w:type="dxa" w:w="1728"/>
            <w:shd w:fill="EAF2F8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Calibri" w:hAnsi="Calibri" w:eastAsia="Microsoft YaHei"/>
                <w:b/>
              </w:rPr>
              <w:t>命题关注</w:t>
            </w:r>
          </w:p>
        </w:tc>
        <w:tc>
          <w:tcPr>
            <w:tcW w:type="dxa" w:w="3960"/>
            <w:shd w:fill="EAF2F8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Calibri" w:hAnsi="Calibri" w:eastAsia="Microsoft YaHei"/>
                <w:b/>
              </w:rPr>
              <w:t>本方案回应</w:t>
            </w:r>
          </w:p>
        </w:tc>
        <w:tc>
          <w:tcPr>
            <w:tcW w:type="dxa" w:w="3528"/>
            <w:shd w:fill="EAF2F8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Calibri" w:hAnsi="Calibri" w:eastAsia="Microsoft YaHei"/>
                <w:b/>
              </w:rPr>
              <w:t>可验证结果</w:t>
            </w:r>
          </w:p>
        </w:tc>
      </w:tr>
      <w:tr>
        <w:tc>
          <w:tcPr>
            <w:tcW w:type="dxa" w:w="172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8"/>
              </w:rPr>
              <w:t>调度寻优难</w:t>
            </w:r>
          </w:p>
        </w:tc>
        <w:tc>
          <w:tcPr>
            <w:tcW w:type="dxa" w:w="39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8"/>
              </w:rPr>
              <w:t>用班次事实表统一订单、库存、能耗、设备和工艺约束，输出稳氨/保供/护机三案。</w:t>
            </w:r>
          </w:p>
        </w:tc>
        <w:tc>
          <w:tcPr>
            <w:tcW w:type="dxa" w:w="352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8"/>
              </w:rPr>
              <w:t>每班保留原计划、系统方案、采纳结果和实际偏差。</w:t>
            </w:r>
          </w:p>
        </w:tc>
      </w:tr>
      <w:tr>
        <w:tc>
          <w:tcPr>
            <w:tcW w:type="dxa" w:w="172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8"/>
              </w:rPr>
              <w:t>指挥效率低</w:t>
            </w:r>
          </w:p>
        </w:tc>
        <w:tc>
          <w:tcPr>
            <w:tcW w:type="dxa" w:w="39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8"/>
              </w:rPr>
              <w:t>将调度建议转为飞书卡片、审批单、交接摘要和执行监督窗口。</w:t>
            </w:r>
          </w:p>
        </w:tc>
        <w:tc>
          <w:tcPr>
            <w:tcW w:type="dxa" w:w="352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8"/>
              </w:rPr>
              <w:t>班前会只看差异、约束和确认事项。</w:t>
            </w:r>
          </w:p>
        </w:tc>
      </w:tr>
      <w:tr>
        <w:tc>
          <w:tcPr>
            <w:tcW w:type="dxa" w:w="172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8"/>
              </w:rPr>
              <w:t>知识传承难</w:t>
            </w:r>
          </w:p>
        </w:tc>
        <w:tc>
          <w:tcPr>
            <w:tcW w:type="dxa" w:w="39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8"/>
              </w:rPr>
              <w:t>把采纳、驳回、异常处置和专家判断沉淀为合成负荷指令库与异常经验库。</w:t>
            </w:r>
          </w:p>
        </w:tc>
        <w:tc>
          <w:tcPr>
            <w:tcW w:type="dxa" w:w="352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8"/>
              </w:rPr>
              <w:t>周度复盘形成规则修订和模型校准记录。</w:t>
            </w:r>
          </w:p>
        </w:tc>
      </w:tr>
      <w:tr>
        <w:tc>
          <w:tcPr>
            <w:tcW w:type="dxa" w:w="172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8"/>
              </w:rPr>
              <w:t>企业可落地</w:t>
            </w:r>
          </w:p>
        </w:tc>
        <w:tc>
          <w:tcPr>
            <w:tcW w:type="dxa" w:w="39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8"/>
              </w:rPr>
              <w:t>先影子运行，不改DCS/SIS；低风险小闭环后再扩展。</w:t>
            </w:r>
          </w:p>
        </w:tc>
        <w:tc>
          <w:tcPr>
            <w:tcW w:type="dxa" w:w="352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8"/>
              </w:rPr>
              <w:t>30/60/90天节奏、停用条件和收益口径明确。</w:t>
            </w:r>
          </w:p>
        </w:tc>
      </w:tr>
    </w:tbl>
    <w:p>
      <w:pPr>
        <w:pStyle w:val="Heading1"/>
      </w:pPr>
      <w:r>
        <w:t>参考文献与资料来源</w:t>
      </w:r>
    </w:p>
    <w:p>
      <w:r>
        <w:rPr>
          <w:rFonts w:ascii="Calibri" w:hAnsi="Calibri" w:eastAsia="Microsoft YaHei"/>
        </w:rPr>
        <w:t>[1] IEA. Ammonia Technology Roadmap. International Energy Agency. https://www.iea.org/reports/ammonia-technology-roadmap</w:t>
      </w:r>
    </w:p>
    <w:p>
      <w:r>
        <w:rPr>
          <w:rFonts w:ascii="Calibri" w:hAnsi="Calibri" w:eastAsia="Microsoft YaHei"/>
        </w:rPr>
        <w:t>[2] 成都云图控股股份有限公司. 2025年年度报告摘要. 巨潮资讯. https://static.cninfo.com.cn/finalpage/2026-04-15/1225100697.PDF</w:t>
      </w:r>
    </w:p>
    <w:p>
      <w:r>
        <w:rPr>
          <w:rFonts w:ascii="Calibri" w:hAnsi="Calibri" w:eastAsia="Microsoft YaHei"/>
        </w:rPr>
        <w:t>[3] 成都云图控股股份有限公司. 关于全资子公司70万吨合成氨项目建成试生产的公告. 巨潮资讯. https://static.cninfo.com.cn/finalpage/2026-03-21/1225020927.PDF</w:t>
      </w:r>
    </w:p>
    <w:p>
      <w:r>
        <w:rPr>
          <w:rFonts w:ascii="Calibri" w:hAnsi="Calibri" w:eastAsia="Microsoft YaHei"/>
        </w:rPr>
        <w:t>[4] 成都云图控股股份有限公司. 投资者关系活动记录表. 巨潮资讯. https://static.cninfo.com.cn/finalpage/2026-04-16/1225109829.PDF</w:t>
      </w:r>
    </w:p>
    <w:p>
      <w:r>
        <w:rPr>
          <w:rFonts w:ascii="Calibri" w:hAnsi="Calibri" w:eastAsia="Microsoft YaHei"/>
        </w:rPr>
        <w:t>[5] Kong et al. Nonlinear Model Predictive Control of Flexible Ammonia Production. 2024 preprint. https://qizh.cems.umn.edu/sites/qizh.cems.umn.edu/files/2024-04/Kong_et_al-2024-preprint-NMPC_ammonia_production.pdf</w:t>
      </w:r>
    </w:p>
    <w:p>
      <w:r>
        <w:rPr>
          <w:rFonts w:ascii="Calibri" w:hAnsi="Calibri" w:eastAsia="Microsoft YaHei"/>
        </w:rPr>
        <w:t>[6] Dynamic Simulation and Optimization for Load Regulation of the Haber-Bosch Process. Industrial &amp; Engineering Chemistry Research. https://pubs.acs.org/doi/10.1021/acs.iecr.4c02410</w:t>
      </w:r>
    </w:p>
    <w:p>
      <w:r>
        <w:rPr>
          <w:rFonts w:ascii="Calibri" w:hAnsi="Calibri" w:eastAsia="Microsoft YaHei"/>
        </w:rPr>
        <w:t>[7] AQ/T 3017-2008. 合成氨生产企业安全标准化实施指南. 应急管理部. https://www.mem.gov.cn/fw/flfgbz/bz/bzwb/201301/P020190327398204066876.pdf</w:t>
      </w:r>
    </w:p>
    <w:p>
      <w:r>
        <w:rPr>
          <w:rFonts w:ascii="Calibri" w:hAnsi="Calibri" w:eastAsia="Microsoft YaHei"/>
        </w:rPr>
        <w:t>[8] 国家发展改革委. 合成氨行业节能降碳改造升级实施指南解读. https://www.ndrc.gov.cn/xwdt/ztzl/ghnhyjnjdgzsj/zjgd/202208/t20220829_1334056.html</w:t>
      </w:r>
    </w:p>
    <w:p>
      <w:r>
        <w:rPr>
          <w:rFonts w:ascii="Calibri" w:hAnsi="Calibri" w:eastAsia="Microsoft YaHei"/>
        </w:rPr>
        <w:t>[9] 应急管理部办公厅. 工业互联网+危化安全生产试点建设方案. https://www.mem.gov.cn/gk/zfxxgkpt/fdzdgknr/202104/t20210407_382882.shtml</w:t>
      </w:r>
    </w:p>
    <w:p>
      <w:r>
        <w:rPr>
          <w:rFonts w:ascii="Calibri" w:hAnsi="Calibri" w:eastAsia="Microsoft YaHei"/>
        </w:rPr>
        <w:t>[10] 飞书开放平台. 消息、审批、多维表格与事件订阅相关OpenAPI文档. https://open.feishu.cn/document/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23" w:right="1238" w:bottom="1123" w:left="1238" w:header="547" w:footer="54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 w:eastAsia="Microsoft YaHei"/>
        <w:color w:val="5A6976"/>
        <w:sz w:val="17"/>
      </w:rPr>
      <w:t>氨智领航调控师 | 合成氨生产调度专家平台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83" w:lineRule="auto" w:after="100"/>
    </w:pPr>
    <w:rPr>
      <w:rFonts w:ascii="Calibri" w:hAnsi="Calibr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184E77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184E77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84E77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