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数字调度长当班使用、飞书协同与异常降级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刷新订单、液氨库存、下游需求、行情、设备健康、能源窗口，生成全线事实表。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调度员确认口径是否与MES/罐区/经营数据一致。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先看产供销联动建议，再看稳产波动吸收和设备黄灯提醒。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班长确认保谁、降谁、停谁、是否外采和回滚条件。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库存、设备、订单或能价超阈值时重算。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未确认前仍按原计划执行。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重算事件表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记录采纳、未采纳、实际负荷、能耗、库存和异常原因。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班长补充经验判断。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多维表格/知识库</w:t>
            </w:r>
          </w:p>
        </w:tc>
      </w:tr>
    </w:tbl>
    <w:p>
      <w:pPr>
        <w:pStyle w:val="Heading2"/>
      </w:pPr>
      <w:r>
        <w:t>1（一）当班使用顺序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先看产供销：液氨有限时，按边际贡献、固定成本吸收、战略订单、停开成本和流程连续性判断产品结构。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再看稳产波动：下游需求、供应工程限制、能源窗口或库存变化时，判断是否需要跨装置负荷联动。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再看设备黄灯：压缩机、关键机组、合成塔出现微弱趋势变化时，先给检查项和通知对象，不直接触发开停车。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最后沉淀经验：采纳、驳回、未采纳原因、事故复盘和班长判断进入知识库，服务新人训练。</w:t>
      </w:r>
    </w:p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互动卡片：发送目标负荷、风险指数、触发约束、收益口径和确认按钮到合成氨当班调度群。</w:t>
      </w:r>
    </w:p>
    <w:p>
      <w:pPr>
        <w:pStyle w:val="ListBullet"/>
      </w:pPr>
      <w:r>
        <w:rPr>
          <w:rFonts w:ascii="Calibri" w:hAnsi="Calibri" w:eastAsia="Microsoft YaHei"/>
        </w:rPr>
        <w:t>审批实例：高风险负荷调整自动生成审批草稿，字段包括装置、模式、目标负荷、业务理由、风险、回滚条件。</w:t>
      </w:r>
    </w:p>
    <w:p>
      <w:pPr>
        <w:pStyle w:val="ListBullet"/>
      </w:pPr>
      <w:r>
        <w:rPr>
          <w:rFonts w:ascii="Calibri" w:hAnsi="Calibri" w:eastAsia="Microsoft YaHei"/>
        </w:rPr>
        <w:t>多维表格：沉淀班次事实、方案采纳、未采纳原因、执行偏差、复盘结论和周度校准状态。</w:t>
      </w:r>
    </w:p>
    <w:p>
      <w:pPr>
        <w:pStyle w:val="ListBullet"/>
      </w:pPr>
      <w:r>
        <w:rPr>
          <w:rFonts w:ascii="Calibri" w:hAnsi="Calibri" w:eastAsia="Microsoft YaHei"/>
        </w:rPr>
        <w:t>Aily入口：支持调度员用自然语言追问“为什么建议降负荷”“液氨库存还能撑多久”“压缩机健康下降时如何护机”。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操作节点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班组确认口径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方案生成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调控师向合成氨当班群发送互动卡片。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只看目标负荷、约束触发、风险指数、回滚条件和与原计划差异。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高风险确认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卡片按钮触发审批草稿，低风险由班长确认，高风险增加主管/安环。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未完成审批前不写MES计划摘要。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采纳方案自动生成飞书任务并列出核对清单。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核对实际负荷曲线、库存变化、能耗窗口和异常处理。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班后沉淀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复盘字段写入多维表格，未采纳原因进入知识库。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记录“为什么不采纳”与“实际执行偏差”，供周度校准。</w:t>
            </w:r>
          </w:p>
        </w:tc>
      </w:tr>
    </w:tbl>
    <w:p>
      <w:pPr>
        <w:pStyle w:val="Heading1"/>
      </w:pPr>
      <w:r>
        <w:t>3. 异常处理原则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安全先于收益：合成塔、压缩机、罐区和安环红线一旦接近阈值，方案自动降级。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连续先于局部最优：下游异常、供应工程限制或能源波动出现时，先评估是否会打断气化、净化、合成、液氨去向等主流程，避免因局部最优导致全流程停车。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取舍先算重启代价：确需停系统时，必须比较空分、合成气轮机驱动系统和下游装置的重启时间、废料、人员与物料损失；既往口述案例只作提示，最终由班长、调度主管和相关专业会签。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解释先于执行：无法解释触发约束、收益来源和回滚条件的方案不得采纳。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人工先于闭环：MVP阶段不自动开停车，不直接改DCS/SIS，不绕过既有审批链。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复盘先于迭代：未采纳原因和实际偏差是模型升级的核心样本。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