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参考文献与数据依据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合成氨调度专家平台证据链</w:t>
      </w:r>
    </w:p>
    <w:p>
      <w:pPr>
        <w:pStyle w:val="Heading1"/>
      </w:pPr>
      <w:r>
        <w:t>资料如何进入方案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支撑问题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方案体现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云图公告与年报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70万吨合成氨与下游肥化产业链协同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以尿素溶液、复合肥、联碱、液氨外售作为调度对象。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合成氨安全资料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高温高压连续流程的安全边界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DCS/SIS隔离、安环红线、罐区安全库存、停用条件。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MPC/RTO与负荷调节研究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连续装置动态优化可行性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班次级目标负荷、经济目标、回放验证和模型治理。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工业互联网与数字化转型资料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生产调度经验库和执行反馈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飞书协同、多维表格、知识库、周度迭代。</w:t>
            </w:r>
          </w:p>
        </w:tc>
      </w:tr>
    </w:tbl>
    <w:p>
      <w:pPr>
        <w:pStyle w:val="Heading1"/>
      </w:pPr>
      <w:r>
        <w:t>关键事实提炼</w:t>
      </w:r>
    </w:p>
    <w:p>
      <w:pPr>
        <w:pStyle w:val="ListBullet"/>
      </w:pPr>
      <w:r>
        <w:rPr>
          <w:rFonts w:ascii="Calibri" w:hAnsi="Calibri" w:eastAsia="Microsoft YaHei"/>
        </w:rPr>
        <w:t>合成氨既是高能耗基础化工环节，也是氮肥产业链的关键原料入口，软件层运行优化具有持续价值。</w:t>
      </w:r>
    </w:p>
    <w:p>
      <w:pPr>
        <w:pStyle w:val="ListBullet"/>
      </w:pPr>
      <w:r>
        <w:rPr>
          <w:rFonts w:ascii="Calibri" w:hAnsi="Calibri" w:eastAsia="Microsoft YaHei"/>
        </w:rPr>
        <w:t>云图合成氨项目的价值不是单点稳产，而是增强肥化产业链原料自给、降低外采波动并支撑下游产品协同。</w:t>
      </w:r>
    </w:p>
    <w:p>
      <w:pPr>
        <w:pStyle w:val="ListBullet"/>
      </w:pPr>
      <w:r>
        <w:rPr>
          <w:rFonts w:ascii="Calibri" w:hAnsi="Calibri" w:eastAsia="Microsoft YaHei"/>
        </w:rPr>
        <w:t>动态优化必须服从机理、安全和设备约束，不能把算法结果直接等同于可执行控制指令。</w:t>
      </w:r>
    </w:p>
    <w:p>
      <w:pPr>
        <w:pStyle w:val="ListBullet"/>
      </w:pPr>
      <w:r>
        <w:rPr>
          <w:rFonts w:ascii="Calibri" w:hAnsi="Calibri" w:eastAsia="Microsoft YaHei"/>
        </w:rPr>
        <w:t>企业试点需要从影子运行、人工确认、收益归因和停用条件开始，逐步进入小闭环。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