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飞书功能模块说明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面向合成氨调度专家平台的协同执行与知识沉淀链路</w:t>
      </w:r>
    </w:p>
    <w:p>
      <w:pPr>
        <w:pStyle w:val="Heading1"/>
      </w:pPr>
      <w:r>
        <w:t>1. 模块定位</w:t>
      </w:r>
    </w:p>
    <w:p>
      <w:r>
        <w:rPr>
          <w:rFonts w:ascii="Calibri" w:hAnsi="Calibri" w:eastAsia="Microsoft YaHei"/>
        </w:rPr>
        <w:t>飞书在本方案中承担“组织操作层”：算法负责算清目标负荷、风险边界和收益口径，飞书负责把建议送到当班人员、推动审批、监督执行、沉淀复盘，并把真实采纳效果反馈给知识库。这个模块不是普通通知工具，而是让合成氨调度建议从“可计算”变成“可执行、可追责、可传承”的关键链路。</w:t>
      </w:r>
    </w:p>
    <w:p>
      <w:pPr>
        <w:pStyle w:val="Heading2"/>
      </w:pPr>
      <w:r>
        <w:t>1（一）围绕业务主线的飞书动作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446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飞书动作</w:t>
            </w:r>
          </w:p>
        </w:tc>
        <w:tc>
          <w:tcPr>
            <w:tcW w:type="dxa" w:w="280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沉淀结果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产供销主赛道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卡片推送液氨去向、边际贡献排序、保供/降负荷/停产/外采建议；高风险取舍进入审批。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产品结构调整原因、确认人、实际贡献、未采纳原因。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稳产波动吸收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下游需求、能源、公辅、库存波动触发任务清单，提醒复核负荷节奏和流程连续性。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波动来源、吸收动作、执行偏差、回滚条件。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设备弱信号预警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压缩机、机组、合成塔黄灯提醒进入设备/班长任务，不直接开停机。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趋势点位、检查项、通知对象、处置结果。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经验传承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班后复盘写入Base，飞书AI读取授权知识源回答新人追问。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调度长案例库、新人训练样本、规则修订记录。</w:t>
            </w:r>
          </w:p>
        </w:tc>
      </w:tr>
    </w:tbl>
    <w:p>
      <w:pPr>
        <w:pStyle w:val="Heading1"/>
      </w:pPr>
      <w:r>
        <w:t>2. 对三大命题痛点的回应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痛点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飞书承接动作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解题价值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飞书AI解释优化理由并标注事实来源；Base汇总历史采纳效果、未采纳原因和收益归因；事件回调把执行结果反哺模型。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让优化不止停留在一次性推荐，而是能结合历史案例和当班事实持续修正。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互动卡片送达当班群，审批承接高风险负荷调整，任务清单跟踪执行与复盘。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压缩调度员、班长、主管、设备和安环之间的沟通链条，并留下完整责任记录。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多维表格沉淀班次事实、班长备注、驳回原因、执行偏差和异常处置；飞书AI基于授权知识源检索回答。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把专家经验和班组判断沉淀为可审计、可检索、可训练的长期资产。</w:t>
            </w:r>
          </w:p>
        </w:tc>
      </w:tr>
    </w:tbl>
    <w:p>
      <w:pPr>
        <w:pStyle w:val="Heading1"/>
      </w:pPr>
      <w:r>
        <w:t>3. 功能模块总览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合成氨业务对象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首批字段/动作</w:t>
            </w:r>
          </w:p>
        </w:tc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边界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稳氨/保供/护机/错峰方案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目标负荷、风险指数、触发约束、回滚条件、采纳/复核/驳回按钮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只触发流程，不直接控制装置。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高风险升降负荷、设备护机、液氨库存越界处置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审批人、装置、目标负荷、业务理由、风险说明、回滚条件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审批通过后仅写MES计划摘要和复盘记录。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班次事实与调度复盘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订单、库存、设备健康、能耗窗口、采纳状态、执行偏差、未采纳原因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作为知识事实层，保留字段来源和版本。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负责人、截止时间、检查项、关闭说明、复核状态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提醒和监督，不替代现场签字确认。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飞书AI问答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调度员追问与新人学习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结论、当前数值、边界、事实来源、责任人、复核时间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无来源不回答，不绕过审批和安全规则。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卡片点击、审批状态、任务关闭、复盘提交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事件类型、幂等键、时间戳、操作者、处理结果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必须做签名校验、重放保护和异常降级。</w:t>
            </w:r>
          </w:p>
        </w:tc>
      </w:tr>
    </w:tbl>
    <w:p>
      <w:pPr>
        <w:pStyle w:val="Heading1"/>
      </w:pPr>
      <w:r>
        <w:t>4. 当班闭环流程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生成建议：调控师读取班次事实表，输出稳氨、保供、护机三案及风险解释。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卡片送达：将目标负荷、约束触发、收益口径和回滚条件发送到合成氨当班调度群。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审批确认：低风险方案由班长确认，高风险方案进入主管/安环审批。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执行监督：采纳后创建飞书任务，跟踪实际负荷曲线、库存变化、能耗窗口和异常处置。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班后复盘：把采纳结果、未采纳原因、执行偏差和班长经验写入Base复盘库。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知识迭代：飞书AI和模型校准流程读取复盘样本，周度输出规则修订和停用条件检查。</w:t>
      </w:r>
    </w:p>
    <w:p>
      <w:pPr>
        <w:pStyle w:val="Heading2"/>
      </w:pPr>
      <w:r>
        <w:t>4（一）特殊停机取舍的飞书闭环</w:t>
      </w:r>
    </w:p>
    <w:p>
      <w:r>
        <w:rPr>
          <w:rFonts w:ascii="Calibri" w:hAnsi="Calibri" w:eastAsia="Microsoft YaHei"/>
        </w:rPr>
        <w:t>当流程确实无法维持连续时，调控师不直接下达停机指令，而是生成取舍卡片：比较空分、合成气轮机驱动系统与下游装置停运的安全影响、重启时间、废料损失和主流程影响。企业口述案例只作候选提示，卡片必须由班长、调度主管和相关专业会签，执行结果进入Base复盘库后仍需专家审核才能成为规则。</w:t>
      </w:r>
    </w:p>
    <w:p>
      <w:pPr>
        <w:pStyle w:val="Heading1"/>
      </w:pPr>
      <w:r>
        <w:t>5. 数据表与接口契约</w:t>
      </w:r>
    </w:p>
    <w:p>
      <w:pPr>
        <w:pStyle w:val="ListBullet"/>
      </w:pPr>
      <w:r>
        <w:rPr>
          <w:rFonts w:ascii="Calibri" w:hAnsi="Calibri" w:eastAsia="Microsoft YaHei"/>
        </w:rPr>
        <w:t>字段样例：data/feishu_dispatch_review_template.csv 保存班次、场景、目标负荷、风险指数、24小时增量贡献、采纳状态和复盘备注等字段。</w:t>
      </w:r>
    </w:p>
    <w:p>
      <w:pPr>
        <w:pStyle w:val="ListBullet"/>
      </w:pPr>
      <w:r>
        <w:rPr>
          <w:rFonts w:ascii="Calibri" w:hAnsi="Calibri" w:eastAsia="Microsoft YaHei"/>
        </w:rPr>
        <w:t>接口契约：data/feishu_integration_contract.json 保存卡片、审批、Base、飞书AI回答与动作、事件回调的字段与幂等键设计。</w:t>
      </w:r>
    </w:p>
    <w:p>
      <w:pPr>
        <w:pStyle w:val="ListBullet"/>
      </w:pPr>
      <w:r>
        <w:rPr>
          <w:rFonts w:ascii="Calibri" w:hAnsi="Calibri" w:eastAsia="Microsoft YaHei"/>
        </w:rPr>
        <w:t>知识闭环：每条建议都必须保留 proposal_id、shift_id、scenario、confidence、approval_status、execution_delta 和 lesson_learned，便于后续回放和审计。</w:t>
      </w:r>
    </w:p>
    <w:p>
      <w:pPr>
        <w:pStyle w:val="Heading1"/>
      </w:pPr>
      <w:r>
        <w:t>6. 已完成原型与授权说明</w:t>
      </w:r>
    </w:p>
    <w:p>
      <w:pPr>
        <w:pStyle w:val="ListBullet"/>
      </w:pPr>
      <w:r>
        <w:rPr>
          <w:rFonts w:ascii="Calibri" w:hAnsi="Calibri" w:eastAsia="Microsoft YaHei"/>
        </w:rPr>
        <w:t>飞书在线完整方案稿：https://www.feishu.cn/docx/AYyad50itooOPxxZpQacgSqIn2c</w:t>
      </w:r>
    </w:p>
    <w:p>
      <w:pPr>
        <w:pStyle w:val="ListBullet"/>
      </w:pPr>
      <w:r>
        <w:rPr>
          <w:rFonts w:ascii="Calibri" w:hAnsi="Calibri" w:eastAsia="Microsoft YaHei"/>
        </w:rPr>
        <w:t>飞书Base调度复盘库原型：https://www.feishu.cn/base/QzENbAkl1aYQGds8dBacqu6Inue</w:t>
      </w:r>
    </w:p>
    <w:p>
      <w:pPr>
        <w:pStyle w:val="ListBullet"/>
      </w:pPr>
      <w:r>
        <w:rPr>
          <w:rFonts w:ascii="Calibri" w:hAnsi="Calibri" w:eastAsia="Microsoft YaHei"/>
        </w:rPr>
        <w:t>飞书任务清单：https://applink.feishu.cn/client/todo/task_list?guid=2ab6c357-dfeb-4f75-9aa3-781dc7ac7244</w:t>
      </w:r>
    </w:p>
    <w:p>
      <w:pPr>
        <w:pStyle w:val="ListBullet"/>
      </w:pPr>
      <w:r>
        <w:rPr>
          <w:rFonts w:ascii="Calibri" w:hAnsi="Calibri" w:eastAsia="Microsoft YaHei"/>
        </w:rPr>
        <w:t>飞书任务API验收任务（已验证）：https://applink.feishu.cn/client/todo/detail?guid=44631b59-b834-47b1-a413-b751f2f291da&amp;suite_entity_num=t136777</w:t>
      </w:r>
    </w:p>
    <w:p>
      <w:pPr>
        <w:pStyle w:val="ListBullet"/>
      </w:pPr>
      <w:r>
        <w:rPr>
          <w:rFonts w:ascii="Calibri" w:hAnsi="Calibri" w:eastAsia="Microsoft YaHei"/>
        </w:rPr>
        <w:t>在线Base与验收任务为已验证链路；互动卡片、负荷审批和事件回调为原型，企业发布仍需目标群机器人范围、审批定义 approval_code、知识源、回调地址和密钥托管。原生任务AI智能体需平台侧开放相应能力，密钥不写入仓库。</w:t>
      </w:r>
    </w:p>
    <w:p>
      <w:pPr>
        <w:pStyle w:val="Heading1"/>
      </w:pPr>
      <w:r>
        <w:t>7. 安全边界</w:t>
      </w:r>
    </w:p>
    <w:p>
      <w:pPr>
        <w:pStyle w:val="ListBullet"/>
      </w:pPr>
      <w:r>
        <w:rPr>
          <w:rFonts w:ascii="Calibri" w:hAnsi="Calibri" w:eastAsia="Microsoft YaHei"/>
        </w:rPr>
        <w:t>DCS/SIS只读或摘要读取，飞书按钮不直接写控制参数，不自动开停车。</w:t>
      </w:r>
    </w:p>
    <w:p>
      <w:pPr>
        <w:pStyle w:val="ListBullet"/>
      </w:pPr>
      <w:r>
        <w:rPr>
          <w:rFonts w:ascii="Calibri" w:hAnsi="Calibri" w:eastAsia="Microsoft YaHei"/>
        </w:rPr>
        <w:t>低置信、关键数据延迟、模型漂移、安环红线接近时自动降级人工流程。</w:t>
      </w:r>
    </w:p>
    <w:p>
      <w:pPr>
        <w:pStyle w:val="ListBullet"/>
      </w:pPr>
      <w:r>
        <w:rPr>
          <w:rFonts w:ascii="Calibri" w:hAnsi="Calibri" w:eastAsia="Microsoft YaHei"/>
        </w:rPr>
        <w:t>所有回调事件使用签名校验、重放保护和幂等入库，避免重复写入或伪造操作。</w:t>
      </w:r>
    </w:p>
    <w:p>
      <w:pPr>
        <w:pStyle w:val="ListBullet"/>
      </w:pPr>
      <w:r>
        <w:rPr>
          <w:rFonts w:ascii="Calibri" w:hAnsi="Calibri" w:eastAsia="Microsoft YaHei"/>
        </w:rPr>
        <w:t>收益核算只统计被采纳且实际执行的方案，并剔除市场、检修、物流等外部因素。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