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Microsoft YaHei"/>
          <w:b/>
          <w:color w:val="000000"/>
          <w:sz w:val="44"/>
        </w:rPr>
        <w:t>整体解决方案书</w:t>
      </w:r>
    </w:p>
    <w:p>
      <w:pPr>
        <w:spacing w:after="320"/>
        <w:jc w:val="center"/>
      </w:pPr>
      <w:r>
        <w:rPr>
          <w:rFonts w:ascii="Calibri" w:hAnsi="Calibri" w:eastAsia="Microsoft YaHei"/>
          <w:color w:val="505050"/>
          <w:sz w:val="22"/>
        </w:rPr>
        <w:t>合成氨 AI 调控师工作台：从影子运行到人机协同闭环</w:t>
      </w:r>
    </w:p>
    <w:p>
      <w:pPr>
        <w:pStyle w:val="Heading1"/>
      </w:pPr>
      <w:r>
        <w:t>1. 方案定位</w:t>
      </w:r>
    </w:p>
    <w:p>
      <w:r>
        <w:rPr>
          <w:rFonts w:ascii="Calibri" w:hAnsi="Calibri" w:eastAsia="Microsoft YaHei"/>
        </w:rPr>
        <w:t>本方案把合成氨装置视为多约束、多目标、滚动优化的生产经营系统。AI 的角色不是替代班长，而是担任“调控师副驾驶”：在安全边界内汇总数据、识别约束、生成方案、解释风险，并把采纳与偏差沉淀为知识。</w:t>
      </w:r>
    </w:p>
    <w:p>
      <w:pPr>
        <w:pStyle w:val="Heading1"/>
      </w:pPr>
      <w:r>
        <w:t>2. 首批试点范围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范围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先做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暂不做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装置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合成氨、液氨库存、尿浆/复合肥需求联动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全厂所有装置一次性纳入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数据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MES、ERP、DCS 摘要点、罐区、设备健康评分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全量秒级点位接入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执行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排产建议、交接摘要、复盘记录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自动开停车或直接写控制参数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收益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采纳方案的实际差额收益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把市场行情自然波动算作 AI 收益</w:t>
            </w:r>
          </w:p>
        </w:tc>
      </w:tr>
    </w:tbl>
    <w:p>
      <w:pPr>
        <w:pStyle w:val="Heading1"/>
      </w:pPr>
      <w:r>
        <w:t>3. 合成氨超级数字员工能力矩阵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能力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功能模块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运行闭环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实时感知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氢氮比、合成塔温升、循环压缩机、液氨库存、下游用氨统一采集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形成合成氨班次事实表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吨氨寻优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吨氨成本雷达、稳氨/保供/护机三案、合成回路约束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识别隐藏成本白银和真金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敏捷指挥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合成氨调控师指令窗口、交接摘要、审批链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人工确认后下达合成负荷计划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执行监督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合成负荷偏差、氢氮比偏差、液氨库存、吨氨能耗结果跟踪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自动生成复盘样本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知识传承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合成负荷指令库、异常经验库、未采纳原因标签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沉淀合成氨专家知识和场景规则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自我迭代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周度校准、规则修订、高风险样本复盘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根据实际生产持续升级</w:t>
            </w:r>
          </w:p>
        </w:tc>
      </w:tr>
    </w:tbl>
    <w:p>
      <w:pPr>
        <w:pStyle w:val="Heading1"/>
      </w:pPr>
      <w:r>
        <w:t>4. 系统架构</w:t>
      </w:r>
    </w:p>
    <w:p>
      <w:pPr>
        <w:pStyle w:val="ListBullet"/>
      </w:pPr>
      <w:r>
        <w:rPr>
          <w:rFonts w:ascii="Calibri" w:hAnsi="Calibri" w:eastAsia="Microsoft YaHei"/>
        </w:rPr>
        <w:t>数据层：形成班次事实表，包含计划、订单、库存、负荷、能耗、设备、异常和审批记录。</w:t>
      </w:r>
    </w:p>
    <w:p>
      <w:pPr>
        <w:pStyle w:val="ListBullet"/>
      </w:pPr>
      <w:r>
        <w:rPr>
          <w:rFonts w:ascii="Calibri" w:hAnsi="Calibri" w:eastAsia="Microsoft YaHei"/>
        </w:rPr>
        <w:t>预测层：滚动预测订单压力、库存水位、能源窗口、设备健康和市场波动。</w:t>
      </w:r>
    </w:p>
    <w:p>
      <w:pPr>
        <w:pStyle w:val="ListBullet"/>
      </w:pPr>
      <w:r>
        <w:rPr>
          <w:rFonts w:ascii="Calibri" w:hAnsi="Calibri" w:eastAsia="Microsoft YaHei"/>
        </w:rPr>
        <w:t>约束层：把合成塔、压缩机、罐区、蒸汽平衡、安全库存、环保指标作为硬边界。</w:t>
      </w:r>
    </w:p>
    <w:p>
      <w:pPr>
        <w:pStyle w:val="ListBullet"/>
      </w:pPr>
      <w:r>
        <w:rPr>
          <w:rFonts w:ascii="Calibri" w:hAnsi="Calibri" w:eastAsia="Microsoft YaHei"/>
        </w:rPr>
        <w:t>优化层：输出稳态、冲刺、保守三套方案，并进行订单、库存、能耗和风险权衡。</w:t>
      </w:r>
    </w:p>
    <w:p>
      <w:pPr>
        <w:pStyle w:val="ListBullet"/>
      </w:pPr>
      <w:r>
        <w:rPr>
          <w:rFonts w:ascii="Calibri" w:hAnsi="Calibri" w:eastAsia="Microsoft YaHei"/>
        </w:rPr>
        <w:t>解释层：生成班前会摘要、风险解释、备选方案和班后复盘要点。</w:t>
      </w:r>
    </w:p>
    <w:p>
      <w:pPr>
        <w:pStyle w:val="ListBullet"/>
      </w:pPr>
      <w:r>
        <w:rPr>
          <w:rFonts w:ascii="Calibri" w:hAnsi="Calibri" w:eastAsia="Microsoft YaHei"/>
        </w:rPr>
        <w:t>治理层：记录输入快照、模型版本、审批人、采纳原因、执行偏差和回滚条件。</w:t>
      </w:r>
    </w:p>
    <w:p>
      <w:pPr>
        <w:pStyle w:val="Heading1"/>
      </w:pPr>
      <w:r>
        <w:t>5. 接口与数据清单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系统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首批字段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频率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用途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MES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日计划、班次产量、执行偏差、偏差原因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班次/小时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计划与实际对比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ERP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订单、交期、价格口径、客户优先级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日/订单变更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订单优先级与延期成本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DCS historian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负荷、温度、压力、流量、电耗、蒸汽摘要点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5-15 分钟聚合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装置边界判断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罐区系统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液氨库存、罐区压力、装车窗口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分钟/小时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库存和外售约束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EAM/点检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设备健康评分、检修计划、异常工单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日/事件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设备风险约束</w:t>
            </w:r>
          </w:p>
        </w:tc>
      </w:tr>
    </w:tbl>
    <w:p>
      <w:pPr>
        <w:pStyle w:val="Heading1"/>
      </w:pPr>
      <w:r>
        <w:t>6. 30/60/90 天落地路线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时间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目标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交付物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验收口径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30 天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跑通班次事实表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接口清单、数据质量报告、口径确认表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关键字段完整率达标，调度确认口径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60 天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影子运行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每班三套建议、未采纳原因记录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覆盖主要场景，调度员愿意看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90 天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小闭环复盘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收益归因、规则库、上线边界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9"/>
              </w:rPr>
              <w:t>至少一项指标稳定改善或明确终止原因</w:t>
            </w:r>
          </w:p>
        </w:tc>
      </w:tr>
    </w:tbl>
    <w:p>
      <w:pPr>
        <w:pStyle w:val="Heading1"/>
      </w:pPr>
      <w:r>
        <w:t>7. 验收和停用</w:t>
      </w:r>
    </w:p>
    <w:p>
      <w:pPr>
        <w:pStyle w:val="ListBullet"/>
      </w:pPr>
      <w:r>
        <w:rPr>
          <w:rFonts w:ascii="Calibri" w:hAnsi="Calibri" w:eastAsia="Microsoft YaHei"/>
        </w:rPr>
        <w:t>通过条件：高优订单满足率不低于人工排产，且单位氨能耗、库存占用、调度耗时或异常预警至少一项改善。</w:t>
      </w:r>
    </w:p>
    <w:p>
      <w:pPr>
        <w:pStyle w:val="ListBullet"/>
      </w:pPr>
      <w:r>
        <w:rPr>
          <w:rFonts w:ascii="Calibri" w:hAnsi="Calibri" w:eastAsia="Microsoft YaHei"/>
        </w:rPr>
        <w:t>停用条件：关键数据延迟超过 15 分钟、核心点位缺失、模型连续两天偏差超阈值或安环红线接近且无法解释。</w:t>
      </w:r>
    </w:p>
    <w:p>
      <w:pPr>
        <w:pStyle w:val="ListBullet"/>
      </w:pPr>
      <w:r>
        <w:rPr>
          <w:rFonts w:ascii="Calibri" w:hAnsi="Calibri" w:eastAsia="Microsoft YaHei"/>
        </w:rPr>
        <w:t>推广条件：完成一个月影子运行、三次异常场景复盘和一份采纳/不采纳原因清单。</w:t>
      </w:r>
    </w:p>
    <w:p>
      <w:pPr>
        <w:pStyle w:val="Heading1"/>
      </w:pPr>
      <w:r>
        <w:t>参考文献与资料来源</w:t>
      </w:r>
    </w:p>
    <w:p>
      <w:r>
        <w:rPr>
          <w:rFonts w:ascii="Calibri" w:hAnsi="Calibri" w:eastAsia="Microsoft YaHei"/>
        </w:rPr>
        <w:t>[1] IEA. Ammonia Technology Roadmap. https://www.iea.org/reports/ammonia-technology-roadmap</w:t>
      </w:r>
    </w:p>
    <w:p>
      <w:r>
        <w:rPr>
          <w:rFonts w:ascii="Calibri" w:hAnsi="Calibri" w:eastAsia="Microsoft YaHei"/>
        </w:rPr>
        <w:t>[2] IEA. Ammonia Technology Roadmap: Executive Summary. https://www.iea.org/reports/ammonia-technology-roadmap/executive-summary</w:t>
      </w:r>
    </w:p>
    <w:p>
      <w:r>
        <w:rPr>
          <w:rFonts w:ascii="Calibri" w:hAnsi="Calibri" w:eastAsia="Microsoft YaHei"/>
        </w:rPr>
        <w:t>[3] 成都云图控股股份有限公司. 2025 年年度报告摘要. 巨潮资讯. https://static.cninfo.com.cn/finalpage/2026-04-15/1225100697.PDF</w:t>
      </w:r>
    </w:p>
    <w:p>
      <w:r>
        <w:rPr>
          <w:rFonts w:ascii="Calibri" w:hAnsi="Calibri" w:eastAsia="Microsoft YaHei"/>
        </w:rPr>
        <w:t>[4] 成都云图控股股份有限公司. 投资者关系活动记录表. 巨潮资讯. https://static.cninfo.com.cn/finalpage/2026-04-16/1225109829.PDF</w:t>
      </w:r>
    </w:p>
    <w:p>
      <w:r>
        <w:rPr>
          <w:rFonts w:ascii="Calibri" w:hAnsi="Calibri" w:eastAsia="Microsoft YaHei"/>
        </w:rPr>
        <w:t>[5] 云图控股研究报告. 合成氨、磷矿等新产能落地或助力公司成长. https://www.wintrueholding.com/static/upload/file/20260417/1776394254161882.pdf</w:t>
      </w:r>
    </w:p>
    <w:p>
      <w:r>
        <w:rPr>
          <w:rFonts w:ascii="Calibri" w:hAnsi="Calibri" w:eastAsia="Microsoft YaHei"/>
        </w:rPr>
        <w:t>[6] Kong et al. Nonlinear Model Predictive Control of Flexible Ammonia Production. 2024 preprint. https://qizh.cems.umn.edu/sites/qizh.cems.umn.edu/files/2024-04/Kong_et_al-2024-preprint-NMPC_ammonia_production.pdf</w:t>
      </w:r>
    </w:p>
    <w:p>
      <w:r>
        <w:rPr>
          <w:rFonts w:ascii="Calibri" w:hAnsi="Calibri" w:eastAsia="Microsoft YaHei"/>
        </w:rPr>
        <w:t>[7] ACS Industrial &amp; Engineering Chemistry Research. Dynamic Simulation and Optimization for Load Regulation of the Haber-Bosch Process. https://pubs.acs.org/doi/10.1021/acs.iecr.4c02410</w:t>
      </w:r>
    </w:p>
    <w:p>
      <w:r>
        <w:rPr>
          <w:rFonts w:ascii="Calibri" w:hAnsi="Calibri" w:eastAsia="Microsoft YaHei"/>
        </w:rPr>
        <w:t>[8] AIChE 2025 Annual Meeting. Scheduling and Control of Green Ammonia Plants. https://aiche.confex.com/aiche/2025/meetingapp.cgi/Paper/710466</w:t>
      </w:r>
    </w:p>
    <w:p>
      <w:r>
        <w:rPr>
          <w:rFonts w:ascii="Calibri" w:hAnsi="Calibri" w:eastAsia="Microsoft YaHei"/>
        </w:rPr>
        <w:t>[9] 中国信息通信研究院、华为等. 工业与AI融合应用指南. https://www-file.huawei.com/dam/asset/view/dda7ee674ced41d4bb989b365ea0a028.pdf</w:t>
      </w:r>
    </w:p>
    <w:p>
      <w:r>
        <w:rPr>
          <w:rFonts w:ascii="Calibri" w:hAnsi="Calibri" w:eastAsia="Microsoft YaHei"/>
        </w:rPr>
        <w:t>[10] HG/T 6346—2025. 石化和化工行业数字化转型成熟度模型与评估相关资料. https://gxt.gansu.gov.cn/gxt/c126826/202511/174237249/files/99bb56ef71d347248ae58125b2e12aee.pdf</w:t>
      </w:r>
    </w:p>
    <w:p>
      <w:r>
        <w:rPr>
          <w:rFonts w:ascii="Calibri" w:hAnsi="Calibri" w:eastAsia="Microsoft YaHei"/>
        </w:rPr>
        <w:t>[11] 成都云图控股股份有限公司. 关于全资子公司 70 万吨合成氨项目建成试生产的公告. 巨潮资讯. https://static.cninfo.com.cn/finalpage/2026-03-21/1225020927.PDF</w:t>
      </w:r>
    </w:p>
    <w:p>
      <w:r>
        <w:rPr>
          <w:rFonts w:ascii="Calibri" w:hAnsi="Calibri" w:eastAsia="Microsoft YaHei"/>
        </w:rPr>
        <w:t>[12] AQ/T 3017—2008. 合成氨生产企业安全标准化实施指南. 应急管理部. https://www.mem.gov.cn/fw/flfgbz/bz/bzwb/201301/P020190327398204066876.pdf</w:t>
      </w:r>
    </w:p>
    <w:p>
      <w:r>
        <w:rPr>
          <w:rFonts w:ascii="Calibri" w:hAnsi="Calibri" w:eastAsia="Microsoft YaHei"/>
        </w:rPr>
        <w:t>[13] 合成氨行业规范条件. 工业和信息化部相关资料. https://file.smejs.cn/group1/M00/05/1F/rBIAAWUvo0OAbXwqAAUaBh6SZ0U730.pdf</w:t>
      </w:r>
    </w:p>
    <w:p>
      <w:r>
        <w:rPr>
          <w:rFonts w:ascii="Calibri" w:hAnsi="Calibri" w:eastAsia="Microsoft YaHei"/>
        </w:rPr>
        <w:t>[14] 国家发展改革委. 合成氨行业节能降碳改造升级实施指南解读. https://www.ndrc.gov.cn/xwdt/ztzl/ghnhyjnjdgzsj/zjgd/202208/t20220829_1334056.html</w:t>
      </w:r>
    </w:p>
    <w:p>
      <w:r>
        <w:rPr>
          <w:rFonts w:ascii="Calibri" w:hAnsi="Calibri" w:eastAsia="Microsoft YaHei"/>
        </w:rPr>
        <w:t>[15] 应急管理部办公厅. “工业互联网+危化安全生产”试点建设方案. https://www.mem.gov.cn/gk/zfxxgkpt/fdzdgknr/202104/t20210407_382882.shtml</w:t>
      </w:r>
    </w:p>
    <w:p>
      <w:r>
        <w:rPr>
          <w:rFonts w:ascii="Calibri" w:hAnsi="Calibri" w:eastAsia="Microsoft YaHei"/>
        </w:rPr>
        <w:t>[16] GB 17681—2024. 危险化学品重大危险源安全监控技术规范相关资料. https://sjj.ganzhou.gov.cn/c101840/202506/e42a2cfd5c894799b899a30fcb927f06/files/b133fc57bfa64bd3a7beeee6ce6ca38e.pdf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787878"/>
        <w:sz w:val="18"/>
      </w:rPr>
      <w:t>仅用于参赛方案与试点论证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A5A5A"/>
        <w:sz w:val="18"/>
      </w:rPr>
      <w:t>合成氨 AI 生产调度专家 | 提交材料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