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企业评审视角优化清单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把合成氨 AI 调控师从演示方案升级为企业试点提案</w:t>
      </w:r>
    </w:p>
    <w:p>
      <w:pPr>
        <w:pStyle w:val="Heading1"/>
      </w:pPr>
      <w:r>
        <w:t>1. 企业评审真正会看什么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评审维度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常见扣分点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本方案强化点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业务贴合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把合成氨写成普通生产看板，忽视下游消纳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围绕氨合成负荷、液氨库存、尿浆、复合肥、联碱和液氨外售做协同优化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安全可信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只谈降本，不谈高温高压、重大危险源和审批边界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把合成塔温升、循环压缩机、罐区压力、安全库存、安环红线作为硬约束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现场可用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页面漂亮但班长不知道怎么用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新增调控工作说明、专家审核关注点、班前会摘要、飞书卡片和审批草稿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收益可信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泛泛写降本增效，没有核算边界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只统计被采纳方案的实际差额收益，剔除行情自然波动和外部检修影响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把知识库写成口号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记录采纳/未采纳原因、输入快照、审批人、实际偏差和班长经验判断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推广复制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一上来做全厂大平台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 30/60/90 天影子运行，再小闭环，再复制到多装置协同</w:t>
            </w:r>
          </w:p>
        </w:tc>
      </w:tr>
    </w:tbl>
    <w:p>
      <w:pPr>
        <w:pStyle w:val="Heading1"/>
      </w:pPr>
      <w:r>
        <w:t>2. 新增突出创新点</w:t>
      </w:r>
    </w:p>
    <w:p>
      <w:pPr>
        <w:pStyle w:val="ListBullet"/>
      </w:pPr>
      <w:r>
        <w:rPr>
          <w:rFonts w:ascii="Calibri" w:hAnsi="Calibri" w:eastAsia="Microsoft YaHei"/>
        </w:rPr>
        <w:t>专家审核友好：页面不再由参赛方自我打分，而是用“调控工作说明”和“专家审核关注点”呈现待确认事项、审批责任和试点条件。</w:t>
      </w:r>
    </w:p>
    <w:p>
      <w:pPr>
        <w:pStyle w:val="ListBullet"/>
      </w:pPr>
      <w:r>
        <w:rPr>
          <w:rFonts w:ascii="Calibri" w:hAnsi="Calibri" w:eastAsia="Microsoft YaHei"/>
        </w:rPr>
        <w:t>反事实收益归因：同一班次保留原计划、AI 建议、采纳结果和实际偏差，用反事实对比减少“把行情算成 AI 收益”的争议。</w:t>
      </w:r>
    </w:p>
    <w:p>
      <w:pPr>
        <w:pStyle w:val="ListBullet"/>
      </w:pPr>
      <w:r>
        <w:rPr>
          <w:rFonts w:ascii="Calibri" w:hAnsi="Calibri" w:eastAsia="Microsoft YaHei"/>
        </w:rPr>
        <w:t>三重护栏：工艺硬约束、安环合规护栏、飞书审批留痕同时生效，证明 AI 不是绕开控制系统。</w:t>
      </w:r>
    </w:p>
    <w:p>
      <w:pPr>
        <w:pStyle w:val="ListBullet"/>
      </w:pPr>
      <w:r>
        <w:rPr>
          <w:rFonts w:ascii="Calibri" w:hAnsi="Calibri" w:eastAsia="Microsoft YaHei"/>
        </w:rPr>
        <w:t>未采纳原因资产化：把安全边界、设备风险、订单变化、数据不可信、经验判断等未采纳原因结构化，反向训练数字员工。</w:t>
      </w:r>
    </w:p>
    <w:p>
      <w:pPr>
        <w:pStyle w:val="ListBullet"/>
      </w:pPr>
      <w:r>
        <w:rPr>
          <w:rFonts w:ascii="Calibri" w:hAnsi="Calibri" w:eastAsia="Microsoft YaHei"/>
        </w:rPr>
        <w:t>产业链协同视角：氨不是孤立产品，而是尿浆、复合肥、联碱、液氨外售和氮肥自给率的枢纽原料。</w:t>
      </w:r>
    </w:p>
    <w:p>
      <w:pPr>
        <w:pStyle w:val="ListBullet"/>
      </w:pPr>
      <w:r>
        <w:rPr>
          <w:rFonts w:ascii="Calibri" w:hAnsi="Calibri" w:eastAsia="Microsoft YaHei"/>
        </w:rPr>
        <w:t>轻集成落地：飞书负责通知、审批、复盘和协同，MES/DCS/ERP 仍保留原有系统边界，降低企业试点阻力。</w:t>
      </w:r>
    </w:p>
    <w:p>
      <w:pPr>
        <w:pStyle w:val="Heading1"/>
      </w:pPr>
      <w:r>
        <w:t>3. 评委可能追问与回答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追问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回答口径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AI 会不会影响安全生产？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不会。第一阶段只做影子建议、飞书审批和复盘，不直接写 DCS/SIS，不自动开停车；安环红线接近时自动降级。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数据不准怎么办？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先做数据就绪度评分。关键点位缺失、延迟超过 15 分钟或口径不一致时，优化建议停用，只保留人工规则提示。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为什么需要飞书？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飞书不是控制系统，而是班组协同入口。它让建议、审批、采纳、驳回、复盘都有责任人和时间戳。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收益怎么证明？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用历史回放和影子运行做对照，只认被采纳且实际执行的方案收益，并按能源、库存、订单、停车风险分类归因。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为什么方案不像外行？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方案从合成回路、循环压缩机、合成塔床层温升、氢氮比、液氨罐区和下游用氨出发，而不是泛泛写 AI 大模型。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能否推广？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先沉淀合成氨约束模板、审批模板和知识库，再复制到复合肥、联碱、黄磷、磷酸铁等多装置协同场景。</w:t>
            </w:r>
          </w:p>
        </w:tc>
      </w:tr>
    </w:tbl>
    <w:p>
      <w:pPr>
        <w:pStyle w:val="Heading1"/>
      </w:pPr>
      <w:r>
        <w:t>4. 推荐参赛表达</w:t>
      </w:r>
    </w:p>
    <w:p>
      <w:r>
        <w:rPr>
          <w:rFonts w:ascii="Calibri" w:hAnsi="Calibri" w:eastAsia="Microsoft YaHei"/>
        </w:rPr>
        <w:t>如果评委只看平台，应该先看到一个会说“我先守安全边界，再找吨氨成本”的合成氨调控师；如果评委打开附件，应该看到方案不是一个 AI 页面，而是一套能进入企业试点的运行管理系统。</w:t>
      </w:r>
    </w:p>
    <w:p>
      <w:r>
        <w:rPr>
          <w:rFonts w:ascii="Calibri" w:hAnsi="Calibri" w:eastAsia="Microsoft YaHei"/>
        </w:rPr>
        <w:t>最终表达建议：不把 AI 描述成全能接管者，而描述成“懂合成氨、懂班组、懂审批、懂复盘的数字调控师”。它的价值在于把专家经验从人脑、微信群和交接班口头记录中沉淀成可复盘、可审计、可迭代的企业知识资产。</w:t>
      </w:r>
    </w:p>
    <w:p>
      <w:pPr>
        <w:pStyle w:val="Heading1"/>
      </w:pPr>
      <w:r>
        <w:t>5. 额外证据补强</w:t>
      </w:r>
    </w:p>
    <w:p>
      <w:pPr>
        <w:pStyle w:val="ListBullet"/>
      </w:pPr>
      <w:r>
        <w:rPr>
          <w:rFonts w:ascii="Calibri" w:hAnsi="Calibri" w:eastAsia="Microsoft YaHei"/>
        </w:rPr>
        <w:t>云图控股项目公告和年报用于支撑“70 万吨合成氨项目与下游复合肥、尿浆协同”的业务背景。</w:t>
      </w:r>
    </w:p>
    <w:p>
      <w:pPr>
        <w:pStyle w:val="ListBullet"/>
      </w:pPr>
      <w:r>
        <w:rPr>
          <w:rFonts w:ascii="Calibri" w:hAnsi="Calibri" w:eastAsia="Microsoft YaHei"/>
        </w:rPr>
        <w:t>合成氨安全标准化实施指南用于支撑企业安全生产和现场管理边界。</w:t>
      </w:r>
    </w:p>
    <w:p>
      <w:pPr>
        <w:pStyle w:val="ListBullet"/>
      </w:pPr>
      <w:r>
        <w:rPr>
          <w:rFonts w:ascii="Calibri" w:hAnsi="Calibri" w:eastAsia="Microsoft YaHei"/>
        </w:rPr>
        <w:t>合成氨行业规范条件和节能降碳资料用于支撑能耗、碳排、装置效率和改造升级价值。</w:t>
      </w:r>
    </w:p>
    <w:p>
      <w:pPr>
        <w:pStyle w:val="ListBullet"/>
      </w:pPr>
      <w:r>
        <w:rPr>
          <w:rFonts w:ascii="Calibri" w:hAnsi="Calibri" w:eastAsia="Microsoft YaHei"/>
        </w:rPr>
        <w:t>工业互联网+危化安全生产和重大危险源监控资料用于支撑飞书审批、事件留痕和安全监控闭环。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p>
      <w:r>
        <w:rPr>
          <w:rFonts w:ascii="Calibri" w:hAnsi="Calibri" w:eastAsia="Microsoft YaHei"/>
        </w:rPr>
        <w:t>[11] 成都云图控股股份有限公司. 关于全资子公司 70 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[12] AQ/T 3017—2008.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[13] 合成氨行业规范条件. 工业和信息化部相关资料. https://file.smejs.cn/group1/M00/05/1F/rBIAAWUvo0OAbXwqAAUaBh6SZ0U730.pdf</w:t>
      </w:r>
    </w:p>
    <w:p>
      <w:r>
        <w:rPr>
          <w:rFonts w:ascii="Calibri" w:hAnsi="Calibri" w:eastAsia="Microsoft YaHei"/>
        </w:rPr>
        <w:t>[14]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[15] 应急管理部办公厅. “工业互联网+危化安全生产”试点建设方案.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[16] GB 17681—2024. 危险化学品重大危险源安全监控技术规范相关资料. https://sjj.ganzhou.gov.cn/c101840/202506/e42a2cfd5c894799b899a30fcb927f06/files/b133fc57bfa64bd3a7beeee6ce6ca38e.pdf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