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氨智领航调控师：产供销全线联动数字调度长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氨智领航调控师部署在生产运行管理层，汇总液氨库存、下游订单、产品行情、公用工程和设备状态，生成班次级分配与负荷建议。DCS、SIS、APC和设备保护系统继续承担控制与保护，平台仅提供只读分析、人工审批和执行记录。</w:t>
      </w:r>
    </w:p>
    <w:p>
      <w:pPr>
        <w:pStyle w:val="Heading1"/>
      </w:pPr>
      <w:r>
        <w:t>2. 业务主线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重点问题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演示抓手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核心业务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液氨有限、下游需求、市场价格、能源波动、装置负荷之间实时判断。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液氨去向重分配及硝酸、尿素、纯碱、复合肥、外售的相对外售分配贡献排序。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下游需求突变、公用工程约束、能源窗口和库存波动对主流程的影响。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下游降负荷后合成氨负荷、液氨库存和公用工程的联动节奏。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关键设备趋势异常提示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压缩机、气轮机驱动系统、关键机组和合成塔的持续趋势偏离。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振动、轴位移、防喘振裕度、轴承温度和床层温升的趋势证据。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经审核的调度案例与规则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班组处置、未采纳原因和复盘结论缺少统一记录。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飞书多维表格复盘库、智能问答和新人场景训练清单。</w:t>
            </w:r>
          </w:p>
        </w:tc>
      </w:tr>
    </w:tbl>
    <w:p>
      <w:pPr>
        <w:pStyle w:val="Heading1"/>
      </w:pPr>
      <w:r>
        <w:t>3.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订单导出、MES班次计划、罐区历史摘要、飞书协同记录；后续扩展生产历史数据库与设备数据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班次调度事实表、口径字典、数据质量报告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机理硬约束、设备趋势、库存/订单预测；PINN仅作为待验证的反应器校准候选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规则版本、适用范围、漂移监控、留出班次回放报告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联动调度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液氨机会成本、非氨变动成本、流程连续性、APC/MPC候选建议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液氨分配、负荷调整、外采安排、停运评估和撤销条件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经审核的调度案例、异常处置、未采纳原因和新人训练样本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规则修订建议、审核记录、版本和适用条件</w:t>
            </w:r>
          </w:p>
        </w:tc>
      </w:tr>
    </w:tbl>
    <w:p>
      <w:pPr>
        <w:pStyle w:val="Heading1"/>
      </w:pPr>
      <w:r>
        <w:t>4. 现有系统对接口径（待企业确认）</w:t>
      </w:r>
    </w:p>
    <w:p>
      <w:r>
        <w:rPr>
          <w:rFonts w:ascii="Calibri" w:hAnsi="Calibri" w:eastAsia="Microsoft YaHei"/>
        </w:rPr>
        <w:t>企业访谈记录显示，现场已有或正在建设多套生产与经营系统。平台在现有系统之间汇总班次调度所需信息，并明确数据来源、流向和写回边界；DCS、MES、APC和压机软件的原有职责保持不变。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作为平台的只读事实源，不替代DCS控制。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通过生产历史数据库或只读接口获取摘要，不直接写控制参数。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提供蒸汽、电力、公用工程负荷、管网约束和热电优化结果。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提供离心压缩机、气轮机驱动系统和关键机组的状态与趋势数据。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用于设备趋势异常提示和停运评估，不直接触发开停车。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MES与合成氨调控平台：企业访谈中记录为“海尔豪斯”调控平台，具体厂商名称待企业确认。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合成氨DCS：企业访谈中记录为中控体系，具体名称待企业确认。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SMC压机软件、康迪森机组数据：企业访谈中记录机组数据已接入和利时平台，具体点位清单待企业确认。</w:t>
      </w:r>
    </w:p>
    <w:p>
      <w:pPr>
        <w:pStyle w:val="Heading1"/>
      </w:pPr>
      <w:r>
        <w:t>5. 飞书功能模块在方案中的位置</w:t>
      </w:r>
    </w:p>
    <w:p>
      <w:r>
        <w:rPr>
          <w:rFonts w:ascii="Calibri" w:hAnsi="Calibri" w:eastAsia="Microsoft YaHei"/>
        </w:rPr>
        <w:t>飞书承接调度建议送达、审批、任务跟踪和班后复盘。调度建议完成责任人确认和状态留痕后，才进入MES计划摘要或复盘记录。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把目标负荷、风险等级、触发约束、相对外售分配贡献和确认按钮推送到当班调度群。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企业发布后，由审批结果触发跟踪任务，核对生产历史数据库中的实际负荷、库存变化和班后结论。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飞书智能问答/事件回传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建议解释与案例复用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授权后支持调度员追问方案依据；操作结果返回待审核案例库，不自动修改生产规则。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6.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机理与模型侧：先以合成塔热平衡、反应器温升、氢氮比、循环气量和压缩机效率形成硬约束；PINN完成企业历史回放与留出班次验证后，才可作为旁路计算的候选校准方法。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7.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建议动作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高优订单保障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尿素溶液或复合肥用氨急单、液氨库存偏低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比较提高合成负荷、压缩弹性外售和调整其他下游分配。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订单延期风险、液氨期末库存和相对外售分配贡献。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蒸汽、电力或原料边际成本变化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比较不同负荷时段，保持企业确认的安全库存。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单位氨变动成本、库存占用和负荷变化次数。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设备指标持续偏离或合成塔温升异常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显示趋势证据，建议复核负荷上限和点检窗口。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提示提前量、检查结果和人工处置记录。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转人工处理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数据过期、口径冲突或输入超出模型适用工况范围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停止给出可执行建议，不回写计划，保留原计划并提示人工复核。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降级原因、恢复条件和复核用时。</w:t>
            </w:r>
          </w:p>
        </w:tc>
      </w:tr>
    </w:tbl>
    <w:p>
      <w:pPr>
        <w:pStyle w:val="Heading1"/>
      </w:pPr>
      <w:r>
        <w:t>8. 跨系统班次信息汇总</w:t>
      </w:r>
    </w:p>
    <w:p>
      <w:r>
        <w:rPr>
          <w:rFonts w:ascii="Calibri" w:hAnsi="Calibri" w:eastAsia="Microsoft YaHei"/>
        </w:rPr>
        <w:t>企业访谈显示，班次调度信息分散在MES、DCS、IoT、APC、压机软件、热电平台和经营数据中。调度长需要逐项查看价格、库存、订单、装置负荷、设备状态和公用工程约束。平台按班次汇总这些信息，并记录每次判断使用的数据和规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现场问题</w:t>
            </w:r>
          </w:p>
        </w:tc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当前做法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从多套系统逐项查看。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生成带来源、时间戳和质量码的班次调度事实表。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查数用时和口径差异数量。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判断依赖经验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由调度长判断哪些信息影响当班方案。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记录历史方案、驳回原因、复盘结论和适用条件。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新人场景判断准确率与用时。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跨线取舍复杂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人工比较液氨去向、下游负荷、热电约束和设备状态。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列出候选分配方案、约束、牺牲项和撤销条件。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人工复核差异和决策用时。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复盘记录不完整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判断常停留在口头交接。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通过飞书任务、审批和多维表格保存待审核案例。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复盘字段完整率和审核完成率。</w:t>
            </w:r>
          </w:p>
        </w:tc>
      </w:tr>
    </w:tbl>
    <w:p>
      <w:pPr>
        <w:pStyle w:val="Heading1"/>
      </w:pPr>
      <w:r>
        <w:t>9. 产供销经济取舍口径</w:t>
      </w:r>
    </w:p>
    <w:p>
      <w:r>
        <w:rPr>
          <w:rFonts w:ascii="Calibri" w:hAnsi="Calibri" w:eastAsia="Microsoft YaHei"/>
        </w:rPr>
        <w:t>产供销调度采用增量口径比较液氨去向：产品净收入减非氨变动成本、包装物流、液氨机会成本和启停摊销，再加经财务确认的违约避免额。结果称为“相对外售分配贡献测算值”，用于方案比较，不表示已经实现的收益。折旧和固定人工仅作管理解释，不重复计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连续开车可能覆盖部分折旧、固定人工和装置维持费用。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作为管理层解释单列展示，不再计入增量贡献，避免重复核算。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10. 跨装置联动的调度优先级</w:t>
      </w:r>
    </w:p>
    <w:p>
      <w:r>
        <w:rPr>
          <w:rFonts w:ascii="Calibri" w:hAnsi="Calibri" w:eastAsia="Microsoft YaHei"/>
        </w:rPr>
        <w:t>企业访谈确认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流程确需中断时，比较空分、合成气轮机驱动系统与下游装置的停运代价。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按安全、重启复杂度、废料损失和主流程影响排序；企业口述案例仅作为待复核候选，不固化为通用停机规则。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由班长、调度主管和相关专业会签；平台不自动执行停机。</w:t>
            </w:r>
          </w:p>
        </w:tc>
      </w:tr>
    </w:tbl>
    <w:p>
      <w:pPr>
        <w:pStyle w:val="Heading1"/>
      </w:pPr>
      <w:r>
        <w:t>11.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校核四类离线或只读数据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订单导出、MES班次计划、罐区历史摘要、飞书协同记录的字段字典、样例和质量报告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逐字段确认来源、时间戳、单位、质量状态和责任专业，不接入DCS实时写路径。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扩展只读数据并开展旁路回放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生产历史数据库、设备和公用工程只读接口；调度建议、人工方案及差异报告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覆盖正常班次、急单、库存偏低和设备趋势异常场景。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开展低风险执行验证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不少于30个有效班次，覆盖产供销重排、公辅波动吸收、设备趋势复核三类场景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安全硬约束零突破、建议可复算、无Historian回传时实际值保持为空；收益仅与同口径原计划对照后归因。</w:t>
            </w:r>
          </w:p>
        </w:tc>
      </w:tr>
    </w:tbl>
    <w:p>
      <w:pPr>
        <w:pStyle w:val="Heading1"/>
      </w:pPr>
      <w:r>
        <w:t>12. 验收与停用条件</w:t>
      </w:r>
    </w:p>
    <w:p>
      <w:pPr>
        <w:pStyle w:val="ListBullet"/>
      </w:pPr>
      <w:r>
        <w:rPr>
          <w:rFonts w:ascii="Calibri" w:hAnsi="Calibri" w:eastAsia="Microsoft YaHei"/>
        </w:rPr>
        <w:t>验收条件：双方先确认基线期、评价期和阈值；至少覆盖30个有效班次和产供销重排、公辅波动吸收、设备趋势复核三类场景。安全、数据质量、建议可复算和审批合规为必过项，再比较订单满足率、单位氨变动成本、库存占用、调度用时和提示提前量。</w:t>
      </w:r>
    </w:p>
    <w:p>
      <w:pPr>
        <w:pStyle w:val="ListBullet"/>
      </w:pPr>
      <w:r>
        <w:rPr>
          <w:rFonts w:ascii="Calibri" w:hAnsi="Calibri" w:eastAsia="Microsoft YaHei"/>
        </w:rPr>
        <w:t>贡献口径：24小时指标统一称为相对外售分配贡献测算值；实际效果只统计已采纳、已执行且完成归因的方案。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停用条件：关键数据过期或缺失、输入超出适用工况范围、模型偏差超过双方确认的控制限，或安全与设备限值接近时停止给出可执行建议。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[4]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[5]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[6]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[7] Aspen Technology. Aspen GDOT. https://www.aspentech.com/en/products/msc/aspen-gdot</w:t>
      </w:r>
    </w:p>
    <w:p>
      <w:r>
        <w:rPr>
          <w:rFonts w:ascii="Calibri" w:hAnsi="Calibri" w:eastAsia="Microsoft YaHei"/>
        </w:rPr>
        <w:t>[8]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[9]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[10]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[11]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