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班次调度建议、飞书协同与转人工处理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刷新订单、液氨库存、下游需求、行情、公用工程和设备状态，生成班次调度事实表。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调度员核对来源、时间戳、单位和质量状态。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查看产供销建议、跨装置协调事项和设备趋势异常提示。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班长确认液氨分配、负荷调整、外采安排和撤销条件。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库存、设备、订单或能源条件变化时重新计算候选方案。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未经确认继续执行原计划。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方案变更记录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记录采纳状态、实际负荷、能耗、库存、偏差和原因。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班长补充现场判断，专业人员审核后入库。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</w:t>
            </w:r>
          </w:p>
        </w:tc>
      </w:tr>
    </w:tbl>
    <w:p>
      <w:pPr>
        <w:pStyle w:val="Heading2"/>
      </w:pPr>
      <w:r>
        <w:t>1（一）当班使用顺序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核对产供销数据：确认订单、库存、价格和相对外售分配贡献测算口径。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检查连续生产约束：确认下游需求、公用工程、设备和库存变化是否需要跨装置协调。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检查设备趋势：查看偏离变量、持续时间、数据来源、检查项和通知专业，不直接触发开停车。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完成班后记录：保存采纳、驳回、执行偏差和现场原因，待专业人员审核后进入案例库。</w:t>
      </w:r>
    </w:p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互动卡片原型：显示目标负荷、风险等级、触发约束、相对外售分配贡献、撤销条件和确认按钮。</w:t>
      </w:r>
    </w:p>
    <w:p>
      <w:pPr>
        <w:pStyle w:val="ListBullet"/>
      </w:pPr>
      <w:r>
        <w:rPr>
          <w:rFonts w:ascii="Calibri" w:hAnsi="Calibri" w:eastAsia="Microsoft YaHei"/>
        </w:rPr>
        <w:t>审批原型：高风险负荷调整生成审批草稿，字段包括装置、目标负荷、业务理由、风险说明和撤销条件。</w:t>
      </w:r>
    </w:p>
    <w:p>
      <w:pPr>
        <w:pStyle w:val="ListBullet"/>
      </w:pPr>
      <w:r>
        <w:rPr>
          <w:rFonts w:ascii="Calibri" w:hAnsi="Calibri" w:eastAsia="Microsoft YaHei"/>
        </w:rPr>
        <w:t>飞书多维表格：记录班次事实、采纳状态、未采纳原因、执行偏差和复盘结论。</w:t>
      </w:r>
    </w:p>
    <w:p>
      <w:pPr>
        <w:pStyle w:val="ListBullet"/>
      </w:pPr>
      <w:r>
        <w:rPr>
          <w:rFonts w:ascii="Calibri" w:hAnsi="Calibri" w:eastAsia="Microsoft YaHei"/>
        </w:rPr>
        <w:t>飞书智能问答待授权：接入知识源后，可追问降负荷依据、库存可支撑时间和设备趋势检查步骤。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核对目标负荷、触发约束、风险等级、撤销条件和与原计划差异。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高风险确认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卡片按钮触发审批草稿，低风险由班长确认，高风险增加主管/安环。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未完成审批前不写MES计划摘要。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企业发布后，审批结果触发飞书任务并列出核对清单。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通过生产历史数据库只读数据核对实际负荷、库存和公用工程变化。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班后记录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复盘字段写入飞书多维表格，未采纳原因进入待审核案例库。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记录不采纳原因和执行偏差，由专业人员决定是否修订规则。</w:t>
            </w:r>
          </w:p>
        </w:tc>
      </w:tr>
    </w:tbl>
    <w:p>
      <w:pPr>
        <w:pStyle w:val="Heading1"/>
      </w:pPr>
      <w:r>
        <w:t>3. 异常处理原则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安全与设备限值接近时，停止给出经济性负荷建议，保留原计划并提示人工处置。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下游异常、公用工程约束或能源条件变化时，先核对气化、净化、合成和液氨去向的连续性。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确需停运时，比较候选装置的重启时间、废料、人员和物料损失；既往案例只作提示，最终由相关人员会签。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无法说明触发数据、约束、贡献测算和撤销条件的建议不得提交审批。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任何负荷调整均由班组按现行操作票和审批制度执行；平台不写DCS/SIS，也不自动开停车。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班后记录先进入待审核案例库，审核通过后才可修订规则或纳入训练样本。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