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产供销全线联动数字调度长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氨智领航调控师：产供销全线联动数字调度长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汇总订单、库存、生产历史、公用工程、设备和经营数据，在安全与连续生产约束下生成液氨分配、装置负荷、外采安排和停运评估建议，并通过飞书完成确认、跟踪和复盘。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已验证飞书Task v2与多维表格样例；互动卡片和审批为原型；飞书智能问答与事件回传待授权。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本方案已形成可本地打开的调控师工作台、样例数据、架构文档、飞书协同说明、操作手册和参考资料。工作台首先处理产供销协同，再辅助跨装置波动协调和设备趋势异常核对，班后记录经审核后进入案例库。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产供销平衡难：液氨有限、下游需求、市场行情、能源波动和装置负荷同时变化，调度长需要跨系统人工汇总后再判断。</w:t>
      </w:r>
    </w:p>
    <w:p>
      <w:pPr>
        <w:pStyle w:val="ListBullet"/>
      </w:pPr>
      <w:r>
        <w:rPr>
          <w:rFonts w:ascii="Calibri" w:hAnsi="Calibri" w:eastAsia="Microsoft YaHei"/>
        </w:rPr>
        <w:t>跨装置协调难：下游需求、公用工程或能源条件变化时，DCS负责局部回路和联锁，班组仍需判断不同装置的负荷调整顺序。</w:t>
      </w:r>
    </w:p>
    <w:p>
      <w:pPr>
        <w:pStyle w:val="ListBullet"/>
      </w:pPr>
      <w:r>
        <w:rPr>
          <w:rFonts w:ascii="Calibri" w:hAnsi="Calibri" w:eastAsia="Microsoft YaHei"/>
        </w:rPr>
        <w:t>经验传承难：成熟调度长培养周期长，专家判断常沉淀在经验和口头交接中，未采纳原因没有被结构化利用。</w:t>
      </w:r>
    </w:p>
    <w:p>
      <w:pPr>
        <w:pStyle w:val="Heading2"/>
      </w:pPr>
      <w:r>
        <w:t>三（一）业务优先级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解决的问题</w:t>
            </w:r>
          </w:p>
        </w:tc>
        <w:tc>
          <w:tcPr>
            <w:tcW w:type="dxa" w:w="201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Demo抓手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核心业务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产供销协同与跨装置负荷联动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给出液氨分配、装置负荷、外采安排和停运评估建议。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液氨去向重分配及硝酸、尿素、纯碱、复合肥、外售的相对外售分配贡献排序。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稳产辅助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跨装置波动协调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给出跨装置负荷调整顺序，并列出保持连续生产所需的边界。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下游降负荷后合成氨负荷、液氨库存和公用工程的联动节奏。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设备辅助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关键设备趋势异常提示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显示偏离变量、持续时间、核对点位、检查步骤和通知专业。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振动、轴位移、防喘振裕度、轴承温度和床层温升的趋势证据。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经验管理</w:t>
            </w:r>
          </w:p>
        </w:tc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经审核的调度案例与规则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按场景记录事实、判断、执行结果和适用条件，经专业人员审核后复用。</w:t>
            </w:r>
          </w:p>
        </w:tc>
        <w:tc>
          <w:tcPr>
            <w:tcW w:type="dxa" w:w="201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飞书多维表格复盘库、智能问答和新人场景训练清单。</w:t>
            </w:r>
          </w:p>
        </w:tc>
      </w:tr>
    </w:tbl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液氨去向、下游需求、价格、公用工程和装置负荷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用统一口径比较候选分配方案。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跨装置协调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需求、能源、公用工程和库存变化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给出负荷调整顺序和连续生产边界。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约束与候选模型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机理硬约束、APC/RTO接口、MPC建议；PINN仅作待验证校准候选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先验证适用工况范围和退出条件，再进入旁路计算。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调度建议、班次调度事实表和撤销条件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将建议带入班前会、审批和MES计划摘要。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跨系统汇总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MES、IoT、生产历史数据库、APC、压机、热电和经营数据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记录每个判断使用的数据来源、时间和质量状态。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飞书协同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卡片、审批、多维表格、Task v2、智能问答和事件回传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按已验证、原型和待授权状态交付。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案例审核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采纳、驳回、偏差和外部影响记录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专业人员审核后再修订规则或纳入训练样本。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试点观察高优订单满足率、单位氨变动成本、液氨库存占用、调度用时、设备趋势提示提前量，以及相对外售分配贡献测算值与实际结果的偏差。</w:t>
      </w:r>
    </w:p>
    <w:p>
      <w:pPr>
        <w:pStyle w:val="Heading2"/>
      </w:pPr>
      <w:r>
        <w:t>五（一）全产业链贯通价值</w:t>
      </w:r>
    </w:p>
    <w:p>
      <w:r>
        <w:rPr>
          <w:rFonts w:ascii="Calibri" w:hAnsi="Calibri" w:eastAsia="Microsoft YaHei"/>
        </w:rPr>
        <w:t>班次调度信息分散在MES、IoT、生产历史数据库、APC、压机软件、热电平台和经营数据中。调度长需要逐项核对液氨去向、下游负荷、能源条件、设备状态和订单优先级。平台将这些信息汇入班次调度事实表，并记录判断依据、确认人和执行结果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现场问题</w:t>
            </w:r>
          </w:p>
        </w:tc>
        <w:tc>
          <w:tcPr>
            <w:tcW w:type="dxa" w:w="432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</w:t>
            </w:r>
          </w:p>
        </w:tc>
        <w:tc>
          <w:tcPr>
            <w:tcW w:type="dxa" w:w="331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试点观察项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信息分散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汇总MES计划、生产历史数据、热电APC、公用工程、设备和市场信息。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查数用时和口径差异数量。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经验记录不完整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记录采纳、驳回、复盘结论和适用条件，授权后供飞书智能问答检索。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复盘完整率、新人场景判断准确率和用时。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跨线取舍复杂</w:t>
            </w:r>
          </w:p>
        </w:tc>
        <w:tc>
          <w:tcPr>
            <w:tcW w:type="dxa" w:w="43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在同一页面比较安全、连续生产、相对外售分配贡献和启停损失。</w:t>
            </w:r>
          </w:p>
        </w:tc>
        <w:tc>
          <w:tcPr>
            <w:tcW w:type="dxa" w:w="33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人工复核差异和决策用时。</w:t>
            </w:r>
          </w:p>
        </w:tc>
      </w:tr>
    </w:tbl>
    <w:p>
      <w:pPr>
        <w:pStyle w:val="Heading2"/>
      </w:pPr>
      <w:r>
        <w:t>五（二）边际贡献决策口径</w:t>
      </w:r>
    </w:p>
    <w:p>
      <w:r>
        <w:rPr>
          <w:rFonts w:ascii="Calibri" w:hAnsi="Calibri" w:eastAsia="Microsoft YaHei"/>
        </w:rPr>
        <w:t>平台采用可复算的增量口径比较液氨去向：产品净收入减非氨变动成本、包装物流、液氨机会成本和启停摊销，再加经财务确认的违约避免额。结果称为相对外售分配贡献测算值，不表示已实现收益；折旧和固定人工仅作管理解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为什么重要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平台输出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边际贡献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判断该产品是否至少覆盖原料、蒸汽、电力、包装、物流等增量成本。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继续开、降负荷或转供其他产品的经济理由。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固定成本吸收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连续生产可能覆盖折旧、固定人工和装置维持费用。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单列解释，不计入增量贡献；是否继续生产仍由安全、连续与机会成本共同决定。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液氨机会成本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液氨有限时，供尿素、纯碱、硝酸、复合肥或外售的替代贡献不同。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相对外售分配贡献排序和产品结构建议。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停开成本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停车重启会产生废料、时间、人员和物料损失。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当边际贡献接近零时，给出继续运行或停产的取舍依据。</w:t>
            </w:r>
          </w:p>
        </w:tc>
      </w:tr>
    </w:tbl>
    <w:p>
      <w:pPr>
        <w:pStyle w:val="Heading2"/>
      </w:pPr>
      <w:r>
        <w:t>五（三）跨装置调度的三条底线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底线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38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平台处理方式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安全第一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任何经营目标都不能突破安环限值、DCS/SIS联锁边界和关键设备保护。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数据不完整、输入超出适用工况范围或限值接近时，停止给出可执行建议并转人工处理。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流程不中断第二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识别上下游异常后先做跨装置负荷联动，评估是否能通过液氨分配、下游降负荷或能源错峰吸收波动。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特殊情况再取舍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确需中断时，不是简单停哪套装置，而是比较空分、合成气轮机驱动系统和下游装置的总损失。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把重启时间、废料和影响范围纳入排序；口述案例不固化为通用规则，最终由班长、调度主管和相关专业会签。</w:t>
            </w:r>
          </w:p>
        </w:tc>
      </w:tr>
    </w:tbl>
    <w:p>
      <w:pPr>
        <w:pStyle w:val="Heading2"/>
      </w:pPr>
      <w:r>
        <w:t>五（四）现有系统接入假设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在现场承担的作用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本方案调用方式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MES/合成氨调控平台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日计划、班次执行、负荷调整记录和交接复盘。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审批通过后写计划摘要、交接说明和复盘结果。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采集合成氨DCS底层过程数据。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作为班次调度事实表的只读数据源。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合成氨主装置局部回路控制、顺控、报警和联锁。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通过生产历史数据库或只读接口获取摘要，不直接写控制参数。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和利时DCS/热电APC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热电、公用工程和蒸汽管网控制与优化。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读取约束余量、能耗条件和APC结果，用于跨装置协调。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SMC压机软件/康迪森机组数据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压缩机、气轮机驱动系统和关键机组状态监测。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用于设备趋势异常提示和停运评估。</w:t>
            </w:r>
          </w:p>
        </w:tc>
      </w:tr>
    </w:tbl>
    <w:p>
      <w:r>
        <w:rPr>
          <w:rFonts w:ascii="Calibri" w:hAnsi="Calibri" w:eastAsia="Microsoft YaHei"/>
        </w:rPr>
        <w:t>上述系统名称来自企业访谈记录，厂商及点位清单在企业试点前需由信息化、生产、设备和热电专业共同确认。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推送目标负荷、风险等级、触发约束和确认按钮。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飞书智能问答（Aily）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调度员追问方案依据和异常处置步骤。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知识源、问答权限和人工确认约束。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事件回传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接收卡片点击、审批通过或驳回、复盘提交。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事件订阅、回调地址和签名校验。</w:t>
            </w:r>
          </w:p>
        </w:tc>
      </w:tr>
    </w:tbl>
    <w:p>
      <w:r>
        <w:rPr>
          <w:rFonts w:ascii="Calibri" w:hAnsi="Calibri" w:eastAsia="Microsoft YaHei"/>
        </w:rPr>
        <w:t>飞书交付状态分为三类。已验证：在线方案稿 https://www.feishu.cn/docx/AYyad50itooOPxxZpQacgSqIn2c、多维表格样例库 https://www.feishu.cn/base/QzENbAkl1aYQGds8dBacqu6Inue、Task v2任务清单 https://applink.feishu.cn/client/todo/task_list?guid=2ab6c357-dfeb-4f75-9aa3-781dc7ac7244 和验收任务 https://applink.feishu.cn/client/todo/detail?guid=44631b59-b834-47b1-a413-b751f2f291da&amp;suite_entity_num=t136777。演示原型：互动卡片、审批状态机和事件回传字段契约。待企业授权：目标群机器人、审批定义、Aily知识源、事件订阅及MES和生产历史数据库接口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授权后，飞书智能问答检索班次事实、历史方案和未采纳原因；事件回传把执行结果送入待审核案例库。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可检索的调度案例、异常处置和候选校准样本。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互动卡片把方案送到当班群，审批承接高风险调整，任务监督跟踪执行与复盘，减少口头传递和跨层级等待。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多维表格记录班次事实、未采纳原因、班长备注、执行偏差和外部影响；Aily授权后从审核知识源回答。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带来源、审核人、适用条件和版本的班次案例。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30天：校核订单导出、MES班次计划、罐区历史摘要和飞书协同记录四类离线或只读数据。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60天：扩展生产历史数据库、设备和公用工程只读数据，开展旁路回放和人工方案对照。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90天：覆盖不少于30个有效班次及产供销重排、公辅波动吸收、设备趋势复核三类场景；核对硬约束、可复算性、执行偏差和停用条件。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演示流程控制在3-5分钟：先展示当班建议、有效期和24小时液氨平衡；再逐项复算相对外售分配贡献；随后演示设备趋势证据、审批状态机、飞书Task v2验收任务与多维表格复盘链路。滑块只用于场景回放，不代表企业实时数据。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材料使用班组可核对的业务对象、数据来源和操作边界描述平台能力。</w:t>
      </w:r>
    </w:p>
    <w:p>
      <w:pPr>
        <w:pStyle w:val="ListBullet"/>
      </w:pPr>
      <w:r>
        <w:rPr>
          <w:rFonts w:ascii="Calibri" w:hAnsi="Calibri" w:eastAsia="Microsoft YaHei"/>
        </w:rPr>
        <w:t>交付状态按已验证、演示原型和待企业授权三类标识，生产效果以试点数据为准。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[2]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[3]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[4]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[5]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[6] International Society of Automation. ISA-95 Series of Standards: Enterprise-Control System Integration. https://www.isa.org/standards-and-publications/isa-standards/isa-95-standard</w:t>
      </w:r>
    </w:p>
    <w:p>
      <w:r>
        <w:rPr>
          <w:rFonts w:ascii="Calibri" w:hAnsi="Calibri" w:eastAsia="Microsoft YaHei"/>
        </w:rPr>
        <w:t>[7] Aspen Technology. Aspen GDOT. https://www.aspentech.com/en/products/msc/aspen-gdot</w:t>
      </w:r>
    </w:p>
    <w:p>
      <w:r>
        <w:rPr>
          <w:rFonts w:ascii="Calibri" w:hAnsi="Calibri" w:eastAsia="Microsoft YaHei"/>
        </w:rPr>
        <w:t>[8] Honeywell. Honeywell Forge Performance+ for Industrials | Production Intelligence. https://process.honeywell.com/us/en/products/industrial-software/operational-excellence/honeywell-forge-production-intelligence</w:t>
      </w:r>
    </w:p>
    <w:p>
      <w:r>
        <w:rPr>
          <w:rFonts w:ascii="Calibri" w:hAnsi="Calibri" w:eastAsia="Microsoft YaHei"/>
        </w:rPr>
        <w:t>[9]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[10]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[11] 飞书开放平台. 开放平台概述（含飞书智能伙伴搭建平台Aily）. https://open.feishu.cn/document/client-docs/intro?lang=zh-CN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