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D1F30"/>
          <w:sz w:val="42"/>
        </w:rPr>
        <w:t>飞书功能模块说明</w:t>
      </w:r>
    </w:p>
    <w:p>
      <w:pPr>
        <w:spacing w:after="300"/>
        <w:jc w:val="center"/>
      </w:pPr>
      <w:r>
        <w:rPr>
          <w:rFonts w:ascii="Calibri" w:hAnsi="Calibri" w:eastAsia="Microsoft YaHei"/>
          <w:color w:val="5A6976"/>
          <w:sz w:val="21"/>
        </w:rPr>
        <w:t>合成氨调度建议的确认、跟踪与班后记录</w:t>
      </w:r>
    </w:p>
    <w:p>
      <w:pPr>
        <w:pStyle w:val="Heading1"/>
      </w:pPr>
      <w:r>
        <w:t>1. 模块定位</w:t>
      </w:r>
    </w:p>
    <w:p>
      <w:r>
        <w:rPr>
          <w:rFonts w:ascii="Calibri" w:hAnsi="Calibri" w:eastAsia="Microsoft YaHei"/>
        </w:rPr>
        <w:t>飞书承接调度建议送达、人工确认、任务跟踪和班后复盘。优化模块生成目标负荷、风险等级、相对外售分配贡献和撤销条件；飞书保存负责人、审批状态、截止时间和执行结果。班后记录经专业人员审核后才进入案例库。</w:t>
      </w:r>
    </w:p>
    <w:p>
      <w:pPr>
        <w:pStyle w:val="Heading2"/>
      </w:pPr>
      <w:r>
        <w:t>1（一）围绕业务主线的飞书动作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94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方向</w:t>
            </w:r>
          </w:p>
        </w:tc>
        <w:tc>
          <w:tcPr>
            <w:tcW w:type="dxa" w:w="446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飞书动作</w:t>
            </w:r>
          </w:p>
        </w:tc>
        <w:tc>
          <w:tcPr>
            <w:tcW w:type="dxa" w:w="280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沉淀结果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产供销协同</w:t>
            </w:r>
          </w:p>
        </w:tc>
        <w:tc>
          <w:tcPr>
            <w:tcW w:type="dxa" w:w="44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卡片推送液氨去向、相对外售分配贡献、负荷调整、外采和停运评估；高风险建议进入审批。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调整原因、确认人、测算值、实际结果和未采纳原因。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跨装置协调</w:t>
            </w:r>
          </w:p>
        </w:tc>
        <w:tc>
          <w:tcPr>
            <w:tcW w:type="dxa" w:w="44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下游需求、能源、公用工程和库存变化触发复核任务。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波动来源、协调动作、执行偏差和撤销条件。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设备趋势异常</w:t>
            </w:r>
          </w:p>
        </w:tc>
        <w:tc>
          <w:tcPr>
            <w:tcW w:type="dxa" w:w="44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趋势提示进入设备和班长任务，显示点位、持续时间和检查项，不直接开停机。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趋势数据、通知对象、检查结果和处置记录。</w:t>
            </w:r>
          </w:p>
        </w:tc>
      </w:tr>
      <w:tr>
        <w:tc>
          <w:tcPr>
            <w:tcW w:type="dxa" w:w="194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经验管理</w:t>
            </w:r>
          </w:p>
        </w:tc>
        <w:tc>
          <w:tcPr>
            <w:tcW w:type="dxa" w:w="446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班后复盘写入飞书多维表格；Aily授权后只读取经审核知识源。</w:t>
            </w:r>
          </w:p>
        </w:tc>
        <w:tc>
          <w:tcPr>
            <w:tcW w:type="dxa" w:w="280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带审核人、适用条件和版本的调度案例。</w:t>
            </w:r>
          </w:p>
        </w:tc>
      </w:tr>
    </w:tbl>
    <w:p>
      <w:pPr>
        <w:pStyle w:val="Heading1"/>
      </w:pPr>
      <w:r>
        <w:t>2. 对三大命题痛点的回应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65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痛点</w:t>
            </w:r>
          </w:p>
        </w:tc>
        <w:tc>
          <w:tcPr>
            <w:tcW w:type="dxa" w:w="39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飞书承接动作</w:t>
            </w:r>
          </w:p>
        </w:tc>
        <w:tc>
          <w:tcPr>
            <w:tcW w:type="dxa" w:w="360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解题价值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调度寻优难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Aily授权后解释方案依据并标注来源；多维表格保存历史方案、未采纳原因和实际结果；事件回传进入待审核案例库。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下一次同类场景可检索当时数据、判断和结果。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指挥效率低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互动卡片送达当班群，审批承接高风险调整，任务清单记录执行与复盘。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保存确认人、审批人、负责人、截止时间和关闭说明。</w:t>
            </w:r>
          </w:p>
        </w:tc>
      </w:tr>
      <w:tr>
        <w:tc>
          <w:tcPr>
            <w:tcW w:type="dxa" w:w="165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知识传承难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多维表格记录班次事实、班长备注、驳回原因、执行偏差和异常处置；智能问答只检索审核知识源。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形成可追溯、可审核的班次案例和规则版本。</w:t>
            </w:r>
          </w:p>
        </w:tc>
      </w:tr>
    </w:tbl>
    <w:p>
      <w:pPr>
        <w:pStyle w:val="Heading1"/>
      </w:pPr>
      <w:r>
        <w:t>3. 功能模块总览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44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飞书能力</w:t>
            </w:r>
          </w:p>
        </w:tc>
        <w:tc>
          <w:tcPr>
            <w:tcW w:type="dxa" w:w="208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合成氨业务对象</w:t>
            </w:r>
          </w:p>
        </w:tc>
        <w:tc>
          <w:tcPr>
            <w:tcW w:type="dxa" w:w="39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首批字段/动作</w:t>
            </w:r>
          </w:p>
        </w:tc>
        <w:tc>
          <w:tcPr>
            <w:tcW w:type="dxa" w:w="17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边界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互动卡片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产供销、跨装置协调和设备趋势方案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目标负荷、风险等级、触发约束、撤销条件、采纳/复核/驳回按钮</w:t>
            </w:r>
          </w:p>
        </w:tc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只触发流程，不直接控制装置。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高风险升降负荷、设备护机、液氨库存越界处置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审批人、装置、目标负荷、业务理由、风险说明、回滚条件</w:t>
            </w:r>
          </w:p>
        </w:tc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审批通过后仅写MES计划摘要和复盘记录。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多维表格Base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班次事实与调度复盘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订单、库存、设备健康、能耗窗口、采纳状态、执行偏差、未采纳原因</w:t>
            </w:r>
          </w:p>
        </w:tc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作为知识事实层，保留字段来源和版本。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飞书任务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执行监督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负责人、截止时间、检查项、关闭说明、复核状态</w:t>
            </w:r>
          </w:p>
        </w:tc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提醒和监督，不替代现场签字确认。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飞书智能问答（Aily）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调度员追问与新人学习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结论、当前数值、边界、事实来源、责任人、复核时间</w:t>
            </w:r>
          </w:p>
        </w:tc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待授权；无来源不回答，不绕过审批和安全规则。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事件回传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卡片点击、审批状态、任务关闭、复盘提交</w:t>
            </w:r>
          </w:p>
        </w:tc>
        <w:tc>
          <w:tcPr>
            <w:tcW w:type="dxa" w:w="3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事件类型、防重复处理键、时间戳、操作者、处理结果</w:t>
            </w:r>
          </w:p>
        </w:tc>
        <w:tc>
          <w:tcPr>
            <w:tcW w:type="dxa" w:w="17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待授权；必须验签、防重放并记录失败事件。</w:t>
            </w:r>
          </w:p>
        </w:tc>
      </w:tr>
    </w:tbl>
    <w:p>
      <w:pPr>
        <w:pStyle w:val="Heading1"/>
      </w:pPr>
      <w:r>
        <w:t>4. 当班闭环流程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生成建议：调控师读取班次调度事实表，输出液氨分配、负荷调整和设备检查建议。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卡片送达：将目标负荷、约束、相对外售分配贡献和撤销条件发送到合成氨当班调度群。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审批确认：低风险方案由班长确认，高风险方案进入主管/安环审批。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执行监督：企业发布后，由审批结果创建飞书任务，跟踪生产历史数据库中的实际负荷、库存和异常处置。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班后复盘：把采纳状态、未采纳原因、执行偏差和班长判断写入飞书多维表格。</w:t>
      </w:r>
    </w:p>
    <w:p>
      <w:pPr>
        <w:pStyle w:val="ListNumber"/>
        <w:numPr>
          <w:ilvl w:val="0"/>
          <w:numId w:val="10"/>
        </w:numPr>
      </w:pPr>
      <w:r>
        <w:rPr>
          <w:rFonts w:ascii="Calibri" w:hAnsi="Calibri" w:eastAsia="Microsoft YaHei"/>
        </w:rPr>
        <w:t>案例审核：生产、设备和安环专业审核复盘记录，再决定是否修订规则或纳入训练样本。</w:t>
      </w:r>
    </w:p>
    <w:p>
      <w:pPr>
        <w:pStyle w:val="Heading2"/>
      </w:pPr>
      <w:r>
        <w:t>4（一）特殊停机取舍的飞书闭环</w:t>
      </w:r>
    </w:p>
    <w:p>
      <w:r>
        <w:rPr>
          <w:rFonts w:ascii="Calibri" w:hAnsi="Calibri" w:eastAsia="Microsoft YaHei"/>
        </w:rPr>
        <w:t>当流程确实无法维持连续时，调控师不直接下达停机指令，而是生成取舍卡片：比较空分、合成气轮机驱动系统与下游装置停运的安全影响、重启时间、废料损失和主流程影响。企业口述案例只作候选提示，卡片必须由班长、调度主管和相关专业会签，执行结果进入Base复盘库后仍需专家审核才能成为规则。</w:t>
      </w:r>
    </w:p>
    <w:p>
      <w:pPr>
        <w:pStyle w:val="Heading1"/>
      </w:pPr>
      <w:r>
        <w:t>5. 数据表与接口契约</w:t>
      </w:r>
    </w:p>
    <w:p>
      <w:pPr>
        <w:pStyle w:val="ListBullet"/>
      </w:pPr>
      <w:r>
        <w:rPr>
          <w:rFonts w:ascii="Calibri" w:hAnsi="Calibri" w:eastAsia="Microsoft YaHei"/>
        </w:rPr>
        <w:t>字段样例：data/feishu_dispatch_review_template.csv 保存班次、场景、目标负荷、风险等级、24小时相对外售分配贡献、采纳状态和复盘备注等字段。</w:t>
      </w:r>
    </w:p>
    <w:p>
      <w:pPr>
        <w:pStyle w:val="ListBullet"/>
      </w:pPr>
      <w:r>
        <w:rPr>
          <w:rFonts w:ascii="Calibri" w:hAnsi="Calibri" w:eastAsia="Microsoft YaHei"/>
        </w:rPr>
        <w:t>接口契约：data/feishu_integration_contract.json 保存卡片、审批、飞书多维表格、智能问答与事件回传的字段和防重复处理设计。</w:t>
      </w:r>
    </w:p>
    <w:p>
      <w:pPr>
        <w:pStyle w:val="ListBullet"/>
      </w:pPr>
      <w:r>
        <w:rPr>
          <w:rFonts w:ascii="Calibri" w:hAnsi="Calibri" w:eastAsia="Microsoft YaHei"/>
        </w:rPr>
        <w:t>知识闭环：每条建议都必须保留 proposal_id、shift_id、scenario、evidence_completeness、approval_status、execution_delta 和 lesson_learned，便于后续回放和审计。</w:t>
      </w:r>
    </w:p>
    <w:p>
      <w:pPr>
        <w:pStyle w:val="Heading1"/>
      </w:pPr>
      <w:r>
        <w:t>6. 交付状态与授权说明</w:t>
      </w:r>
    </w:p>
    <w:p>
      <w:pPr>
        <w:pStyle w:val="ListBullet"/>
      </w:pPr>
      <w:r>
        <w:rPr>
          <w:rFonts w:ascii="Calibri" w:hAnsi="Calibri" w:eastAsia="Microsoft YaHei"/>
        </w:rPr>
        <w:t>已验证：在线方案稿 https://www.feishu.cn/docx/AYyad50itooOPxxZpQacgSqIn2c</w:t>
      </w:r>
    </w:p>
    <w:p>
      <w:pPr>
        <w:pStyle w:val="ListBullet"/>
      </w:pPr>
      <w:r>
        <w:rPr>
          <w:rFonts w:ascii="Calibri" w:hAnsi="Calibri" w:eastAsia="Microsoft YaHei"/>
        </w:rPr>
        <w:t>已验证：飞书多维表格样例库 https://www.feishu.cn/base/QzENbAkl1aYQGds8dBacqu6Inue</w:t>
      </w:r>
    </w:p>
    <w:p>
      <w:pPr>
        <w:pStyle w:val="ListBullet"/>
      </w:pPr>
      <w:r>
        <w:rPr>
          <w:rFonts w:ascii="Calibri" w:hAnsi="Calibri" w:eastAsia="Microsoft YaHei"/>
        </w:rPr>
        <w:t>已验证：Task v2任务清单 https://applink.feishu.cn/client/todo/task_list?guid=2ab6c357-dfeb-4f75-9aa3-781dc7ac7244</w:t>
      </w:r>
    </w:p>
    <w:p>
      <w:pPr>
        <w:pStyle w:val="ListBullet"/>
      </w:pPr>
      <w:r>
        <w:rPr>
          <w:rFonts w:ascii="Calibri" w:hAnsi="Calibri" w:eastAsia="Microsoft YaHei"/>
        </w:rPr>
        <w:t>已验证：Task v2验收任务 https://applink.feishu.cn/client/todo/detail?guid=44631b59-b834-47b1-a413-b751f2f291da&amp;suite_entity_num=t136777</w:t>
      </w:r>
    </w:p>
    <w:p>
      <w:pPr>
        <w:pStyle w:val="ListBullet"/>
      </w:pPr>
      <w:r>
        <w:rPr>
          <w:rFonts w:ascii="Calibri" w:hAnsi="Calibri" w:eastAsia="Microsoft YaHei"/>
        </w:rPr>
        <w:t>演示原型：互动卡片、负荷调整审批状态机和事件回传字段契约。</w:t>
      </w:r>
    </w:p>
    <w:p>
      <w:pPr>
        <w:pStyle w:val="ListBullet"/>
      </w:pPr>
      <w:r>
        <w:rPr>
          <w:rFonts w:ascii="Calibri" w:hAnsi="Calibri" w:eastAsia="Microsoft YaHei"/>
        </w:rPr>
        <w:t>待企业授权：目标群机器人范围、审批定义approval_code、Aily知识源、事件订阅、回调地址、密钥托管及企业系统接口。</w:t>
      </w:r>
    </w:p>
    <w:p>
      <w:pPr>
        <w:pStyle w:val="Heading1"/>
      </w:pPr>
      <w:r>
        <w:t>7. 安全边界</w:t>
      </w:r>
    </w:p>
    <w:p>
      <w:pPr>
        <w:pStyle w:val="ListBullet"/>
      </w:pPr>
      <w:r>
        <w:rPr>
          <w:rFonts w:ascii="Calibri" w:hAnsi="Calibri" w:eastAsia="Microsoft YaHei"/>
        </w:rPr>
        <w:t>平台不提供DCS/SIS写入路径；生产工况通过生产历史数据库或经批准的只读接口获取。</w:t>
      </w:r>
    </w:p>
    <w:p>
      <w:pPr>
        <w:pStyle w:val="ListBullet"/>
      </w:pPr>
      <w:r>
        <w:rPr>
          <w:rFonts w:ascii="Calibri" w:hAnsi="Calibri" w:eastAsia="Microsoft YaHei"/>
        </w:rPr>
        <w:t>数据过期、质量码无效、输入超出适用工况范围或限值接近时，停止给出可执行建议并转人工处理。</w:t>
      </w:r>
    </w:p>
    <w:p>
      <w:pPr>
        <w:pStyle w:val="ListBullet"/>
      </w:pPr>
      <w:r>
        <w:rPr>
          <w:rFonts w:ascii="Calibri" w:hAnsi="Calibri" w:eastAsia="Microsoft YaHei"/>
        </w:rPr>
        <w:t>所有回调事件使用签名校验、重放保护和幂等入库，避免重复写入或伪造操作。</w:t>
      </w:r>
    </w:p>
    <w:p>
      <w:pPr>
        <w:pStyle w:val="ListBullet"/>
      </w:pPr>
      <w:r>
        <w:rPr>
          <w:rFonts w:ascii="Calibri" w:hAnsi="Calibri" w:eastAsia="Microsoft YaHei"/>
        </w:rPr>
        <w:t>24小时指标称为相对外售分配贡献测算值，不称已实现收益；试点效果需剔除市场、检修和物流等外部因素。</w:t>
      </w:r>
    </w:p>
    <w:p>
      <w:pPr>
        <w:pStyle w:val="Heading1"/>
      </w:pPr>
      <w:r>
        <w:t>参考文献与资料来源</w:t>
      </w:r>
    </w:p>
    <w:p>
      <w:r>
        <w:rPr>
          <w:rFonts w:ascii="Calibri" w:hAnsi="Calibri" w:eastAsia="Microsoft YaHei"/>
        </w:rPr>
        <w:t>[1] International Society of Automation. ISA-18 Series of Standards. https://www.isa.org/standards-and-publications/isa-standards/isa-18-series-of-standards</w:t>
      </w:r>
    </w:p>
    <w:p>
      <w:r>
        <w:rPr>
          <w:rFonts w:ascii="Calibri" w:hAnsi="Calibri" w:eastAsia="Microsoft YaHei"/>
        </w:rPr>
        <w:t>[2] 飞书开放平台. 任务概述（Task v2）. https://open.feishu.cn/document/task-v2/overview</w:t>
      </w:r>
    </w:p>
    <w:p>
      <w:r>
        <w:rPr>
          <w:rFonts w:ascii="Calibri" w:hAnsi="Calibri" w:eastAsia="Microsoft YaHei"/>
        </w:rPr>
        <w:t>[3] 飞书开放平台. 开放平台概述（含飞书智能伙伴搭建平台Aily）. https://open.feishu.cn/document/client-docs/intro?lang=zh-CN</w:t>
      </w:r>
    </w:p>
    <w:p>
      <w:r>
        <w:rPr>
          <w:rFonts w:ascii="Calibri" w:hAnsi="Calibri" w:eastAsia="Microsoft YaHei"/>
        </w:rPr>
        <w:t>[4] 飞书开放平台. 执行数据知识问答（Aily v1）. https://open.feishu.cn/document/uAjLw4CM/ukTMukTMukTM/aily-v1/data-knowledge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6976"/>
        <w:sz w:val="17"/>
      </w:rPr>
      <w:t>氨智领航调控师 | 合成氨生产调度专家平台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