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0D1F30"/>
          <w:sz w:val="42"/>
        </w:rPr>
        <w:t>提交信息汇总</w:t>
      </w:r>
    </w:p>
    <w:p>
      <w:pPr>
        <w:spacing w:after="300"/>
        <w:jc w:val="center"/>
      </w:pPr>
      <w:r>
        <w:rPr>
          <w:rFonts w:ascii="Calibri" w:hAnsi="Calibri" w:eastAsia="Microsoft YaHei"/>
          <w:color w:val="5A6976"/>
          <w:sz w:val="21"/>
        </w:rPr>
        <w:t>用于在线表单填写与附件核对</w:t>
      </w:r>
    </w:p>
    <w:p>
      <w:pPr>
        <w:pStyle w:val="Heading1"/>
      </w:pPr>
      <w:r>
        <w:t>开题报告Part 1</w:t>
      </w:r>
    </w:p>
    <w:p>
      <w:r>
        <w:rPr>
          <w:rFonts w:ascii="Calibri" w:hAnsi="Calibri" w:eastAsia="Microsoft YaHei"/>
        </w:rPr>
        <w:t>本命题真正考察的不是再做一块合成氨看板，而是能否把产供销、装置负荷、能源、公辅、设备和班组经验贯通成一个可执行的数字调度长。企业反馈已把方向收束清楚：第一优先级是液氨有限、下游需求和市场价格变化时的产供销协同与跨装置负荷联动；第二优先级是在稳定生产中吸收下游、能源、库存波动，避免冲击主流程；第三优先级是压缩机、机组、合成塔等弱信号提前预警；底座是把调度长多年经验沉淀给新人复用。方案价值不在替代DCS，而在打通系统孤岛、解释取舍、推动执行和形成知识资产。（约228字）</w:t>
      </w:r>
    </w:p>
    <w:p>
      <w:pPr>
        <w:pStyle w:val="Heading1"/>
      </w:pPr>
      <w:r>
        <w:t>开题报告Part 2</w:t>
      </w:r>
    </w:p>
    <w:p>
      <w:r>
        <w:rPr>
          <w:rFonts w:ascii="Calibri" w:hAnsi="Calibri" w:eastAsia="Microsoft YaHei"/>
        </w:rPr>
        <w:t>本方案建设“氨智领航调控师”，定位为合成氨产供销联动数字员工。30天先打通MES/合成氨调控平台、IoT、DCS摘要、热电APC、压机/机组数据、液氨库存、下游订单、市场行情和飞书记录，形成全线事实表；60天影子运行，围绕产供销协同、稳产波动吸收、设备弱信号预警三类场景输出可解释方案；90天只在低风险场景小闭环验收。主赛道按边际贡献、固定成本吸收、液氨机会成本、停开成本和流程连续性判断“保谁、降谁、停谁、是否外采”；第二赛道在下游需求、能源、公辅、库存波动时给出跨装置负荷节奏，避免主流程被动中断；支撑底座把采纳、驳回、事故复盘、未采纳原因和班长经验沉淀为知识库和新人训练样本。平台不直接修改DCS/SIS控制逻辑，不自动开停车；低置信、数据延迟、安环红线接近时自动降级人工流程，并通过飞书卡片、审批、任务和Base复盘留痕。（约365字）</w:t>
      </w:r>
    </w:p>
    <w:p>
      <w:pPr>
        <w:pStyle w:val="Heading1"/>
      </w:pPr>
      <w:r>
        <w:t>附件材料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302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附件</w:t>
            </w:r>
          </w:p>
        </w:tc>
        <w:tc>
          <w:tcPr>
            <w:tcW w:type="dxa" w:w="619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用途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01_开题报告.docx</w:t>
            </w:r>
          </w:p>
        </w:tc>
        <w:tc>
          <w:tcPr>
            <w:tcW w:type="dxa" w:w="61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在线表单两个必填文本框的完整版本。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02_整体解决方案书.docx</w:t>
            </w:r>
          </w:p>
        </w:tc>
        <w:tc>
          <w:tcPr>
            <w:tcW w:type="dxa" w:w="61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系统架构、APC/RTO接口、试点路径与验收边界。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03_调控师操作手册.docx</w:t>
            </w:r>
          </w:p>
        </w:tc>
        <w:tc>
          <w:tcPr>
            <w:tcW w:type="dxa" w:w="61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班组如何使用平台、飞书协同和异常降级。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04_参考文献与数据依据.docx</w:t>
            </w:r>
          </w:p>
        </w:tc>
        <w:tc>
          <w:tcPr>
            <w:tcW w:type="dxa" w:w="61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公司资料、行业资料、合成氨控制优化与安全依据。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05_方案创新与落地清单.docx</w:t>
            </w:r>
          </w:p>
        </w:tc>
        <w:tc>
          <w:tcPr>
            <w:tcW w:type="dxa" w:w="61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入围优势沉淀、决赛创新点和上线清单。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06_决赛完整方案文档.docx</w:t>
            </w:r>
          </w:p>
        </w:tc>
        <w:tc>
          <w:tcPr>
            <w:tcW w:type="dxa" w:w="61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按飞书模板结构组织的信息卡与完整方案。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07_飞书功能模块说明.docx</w:t>
            </w:r>
          </w:p>
        </w:tc>
        <w:tc>
          <w:tcPr>
            <w:tcW w:type="dxa" w:w="61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单独说明互动卡片、审批、多维表格、任务、Aily问答与事件回调如何支撑解题。</w:t>
            </w:r>
          </w:p>
        </w:tc>
      </w:tr>
    </w:tbl>
    <w:p>
      <w:pPr>
        <w:pStyle w:val="Heading1"/>
      </w:pPr>
      <w:r>
        <w:t>链接材料</w:t>
      </w:r>
    </w:p>
    <w:p>
      <w:r>
        <w:rPr>
          <w:rFonts w:ascii="Calibri" w:hAnsi="Calibri" w:eastAsia="Microsoft YaHei"/>
        </w:rPr>
        <w:t>GitHub：https://github.com/zhijinDeng/synthesis-ammonia</w:t>
      </w:r>
    </w:p>
    <w:p>
      <w:r>
        <w:rPr>
          <w:rFonts w:ascii="Calibri" w:hAnsi="Calibri" w:eastAsia="Microsoft YaHei"/>
        </w:rPr>
        <w:t>本地平台入口：D:\云图-合成氨-邓植斤\index.html</w:t>
      </w:r>
    </w:p>
    <w:p>
      <w:r>
        <w:rPr>
          <w:rFonts w:ascii="Calibri" w:hAnsi="Calibri" w:eastAsia="Microsoft YaHei"/>
        </w:rPr>
        <w:t>飞书在线完整方案稿：https://www.feishu.cn/docx/AYyad50itooOPxxZpQacgSqIn2c</w:t>
      </w:r>
    </w:p>
    <w:p>
      <w:r>
        <w:rPr>
          <w:rFonts w:ascii="Calibri" w:hAnsi="Calibri" w:eastAsia="Microsoft YaHei"/>
        </w:rPr>
        <w:t>飞书Base调度复盘库原型：https://www.feishu.cn/base/QzENbAkl1aYQGds8dBacqu6Inue</w:t>
      </w:r>
    </w:p>
    <w:p>
      <w:r>
        <w:rPr>
          <w:rFonts w:ascii="Calibri" w:hAnsi="Calibri" w:eastAsia="Microsoft YaHei"/>
        </w:rPr>
        <w:t>飞书任务清单：https://applink.feishu.cn/client/todo/task_list?guid=2ab6c357-dfeb-4f75-9aa3-781dc7ac7244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38" w:bottom="1123" w:left="1238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6976"/>
        <w:sz w:val="17"/>
      </w:rPr>
      <w:t>氨智领航调控师 | 合成氨生产调度专家平台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