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数字调度长当班使用、飞书协同与异常降级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刷新订单、液氨库存、下游需求、行情、设备健康、能源窗口，生成全线事实表。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调度员确认口径是否与MES/罐区/经营数据一致。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先看产供销联动建议，再看稳产波动吸收和设备黄灯提醒。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班长确认保谁、降谁、停谁、是否外采和回滚条件。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库存、设备、订单或能价超阈值时重算。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未确认前仍按原计划执行。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重算事件表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记录采纳、未采纳、实际负荷、能耗、库存和异常原因。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班长补充经验判断。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多维表格/知识库</w:t>
            </w:r>
          </w:p>
        </w:tc>
      </w:tr>
    </w:tbl>
    <w:p>
      <w:pPr>
        <w:pStyle w:val="Heading2"/>
      </w:pPr>
      <w:r>
        <w:t>1（一）决赛版使用顺序</w:t>
      </w:r>
    </w:p>
    <w:p>
      <w:pPr>
        <w:pStyle w:val="ListNumber"/>
      </w:pPr>
      <w:r>
        <w:rPr>
          <w:rFonts w:ascii="Calibri" w:hAnsi="Calibri" w:eastAsia="Microsoft YaHei"/>
        </w:rPr>
        <w:t>先看产供销：液氨有限时，按边际贡献、固定成本吸收、战略订单、停开成本和流程连续性判断产品结构。</w:t>
      </w:r>
    </w:p>
    <w:p>
      <w:pPr>
        <w:pStyle w:val="ListNumber"/>
      </w:pPr>
      <w:r>
        <w:rPr>
          <w:rFonts w:ascii="Calibri" w:hAnsi="Calibri" w:eastAsia="Microsoft YaHei"/>
        </w:rPr>
        <w:t>再看稳产波动：下游需求、供应工程限制、能源窗口或库存变化时，判断是否需要跨装置负荷联动。</w:t>
      </w:r>
    </w:p>
    <w:p>
      <w:pPr>
        <w:pStyle w:val="ListNumber"/>
      </w:pPr>
      <w:r>
        <w:rPr>
          <w:rFonts w:ascii="Calibri" w:hAnsi="Calibri" w:eastAsia="Microsoft YaHei"/>
        </w:rPr>
        <w:t>再看设备黄灯：压缩机、关键机组、合成塔出现微弱趋势变化时，先给检查项和通知对象，不直接触发开停车。</w:t>
      </w:r>
    </w:p>
    <w:p>
      <w:pPr>
        <w:pStyle w:val="ListNumber"/>
      </w:pPr>
      <w:r>
        <w:rPr>
          <w:rFonts w:ascii="Calibri" w:hAnsi="Calibri" w:eastAsia="Microsoft YaHei"/>
        </w:rPr>
        <w:t>最后沉淀经验：采纳、驳回、未采纳原因、事故复盘和班长判断进入知识库，服务新人训练。</w:t>
      </w:r>
    </w:p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互动卡片：发送目标负荷、风险指数、触发约束、收益口径和确认按钮到合成氨当班调度群。</w:t>
      </w:r>
    </w:p>
    <w:p>
      <w:pPr>
        <w:pStyle w:val="ListBullet"/>
      </w:pPr>
      <w:r>
        <w:rPr>
          <w:rFonts w:ascii="Calibri" w:hAnsi="Calibri" w:eastAsia="Microsoft YaHei"/>
        </w:rPr>
        <w:t>审批实例：高风险负荷调整自动生成审批草稿，字段包括装置、模式、目标负荷、业务理由、风险、回滚条件。</w:t>
      </w:r>
    </w:p>
    <w:p>
      <w:pPr>
        <w:pStyle w:val="ListBullet"/>
      </w:pPr>
      <w:r>
        <w:rPr>
          <w:rFonts w:ascii="Calibri" w:hAnsi="Calibri" w:eastAsia="Microsoft YaHei"/>
        </w:rPr>
        <w:t>多维表格：沉淀班次事实、方案采纳、未采纳原因、执行偏差、复盘结论和周度校准状态。</w:t>
      </w:r>
    </w:p>
    <w:p>
      <w:pPr>
        <w:pStyle w:val="ListBullet"/>
      </w:pPr>
      <w:r>
        <w:rPr>
          <w:rFonts w:ascii="Calibri" w:hAnsi="Calibri" w:eastAsia="Microsoft YaHei"/>
        </w:rPr>
        <w:t>Aily入口：支持调度员用自然语言追问“为什么建议降负荷”“液氨库存还能撑多久”“压缩机健康下降时如何护机”。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只看目标负荷、约束触发、风险指数、回滚条件和与原计划差异。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高风险确认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卡片按钮触发审批草稿，低风险由班长确认，高风险增加主管/安环。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未完成审批前不写MES计划摘要。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采纳方案自动生成飞书任务并列出核对清单。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核对实际负荷曲线、库存变化、能耗窗口和异常处理。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班后沉淀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复盘字段写入多维表格，未采纳原因进入知识库。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记录“为什么不采纳”与“实际执行偏差”，供周度校准。</w:t>
            </w:r>
          </w:p>
        </w:tc>
      </w:tr>
    </w:tbl>
    <w:p>
      <w:pPr>
        <w:pStyle w:val="Heading1"/>
      </w:pPr>
      <w:r>
        <w:t>3. 异常处理原则</w:t>
      </w:r>
    </w:p>
    <w:p>
      <w:pPr>
        <w:pStyle w:val="ListNumber"/>
      </w:pPr>
      <w:r>
        <w:rPr>
          <w:rFonts w:ascii="Calibri" w:hAnsi="Calibri" w:eastAsia="Microsoft YaHei"/>
        </w:rPr>
        <w:t>安全先于收益：合成塔、压缩机、罐区和安环红线一旦接近阈值，方案自动降级。</w:t>
      </w:r>
    </w:p>
    <w:p>
      <w:pPr>
        <w:pStyle w:val="ListNumber"/>
      </w:pPr>
      <w:r>
        <w:rPr>
          <w:rFonts w:ascii="Calibri" w:hAnsi="Calibri" w:eastAsia="Microsoft YaHei"/>
        </w:rPr>
        <w:t>连续先于局部最优：下游异常、供应工程限制或能源波动出现时，先评估是否会打断气化、净化、合成、液氨去向等主流程，避免因局部最优导致全流程停车。</w:t>
      </w:r>
    </w:p>
    <w:p>
      <w:pPr>
        <w:pStyle w:val="ListNumber"/>
      </w:pPr>
      <w:r>
        <w:rPr>
          <w:rFonts w:ascii="Calibri" w:hAnsi="Calibri" w:eastAsia="Microsoft YaHei"/>
        </w:rPr>
        <w:t>取舍先算重启代价：确需停系统时，必须比较停空分、停合成气轮机、停下游装置的重启时间、废料、人员和物料损失；同类已验证场景可优先保气轮机驱动关键系统，停空分方案由班长和主管确认。</w:t>
      </w:r>
    </w:p>
    <w:p>
      <w:pPr>
        <w:pStyle w:val="ListNumber"/>
      </w:pPr>
      <w:r>
        <w:rPr>
          <w:rFonts w:ascii="Calibri" w:hAnsi="Calibri" w:eastAsia="Microsoft YaHei"/>
        </w:rPr>
        <w:t>解释先于执行：无法解释触发约束、收益来源和回滚条件的方案不得采纳。</w:t>
      </w:r>
    </w:p>
    <w:p>
      <w:pPr>
        <w:pStyle w:val="ListNumber"/>
      </w:pPr>
      <w:r>
        <w:rPr>
          <w:rFonts w:ascii="Calibri" w:hAnsi="Calibri" w:eastAsia="Microsoft YaHei"/>
        </w:rPr>
        <w:t>人工先于闭环：MVP阶段不自动开停车，不直接改DCS/SIS，不绕过既有审批链。</w:t>
      </w:r>
    </w:p>
    <w:p>
      <w:pPr>
        <w:pStyle w:val="ListNumber"/>
      </w:pPr>
      <w:r>
        <w:rPr>
          <w:rFonts w:ascii="Calibri" w:hAnsi="Calibri" w:eastAsia="Microsoft YaHei"/>
        </w:rPr>
        <w:t>复盘先于迭代：未采纳原因和实际偏差是模型升级的核心样本。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