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决赛完整方案文档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云图控股合成氨命题 | 产供销全线联动数字调度长</w:t>
      </w:r>
    </w:p>
    <w:p>
      <w:pPr>
        <w:pStyle w:val="Heading1"/>
      </w:pPr>
      <w:r>
        <w:t>一、参赛方案信息卡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项目</w:t>
            </w:r>
          </w:p>
        </w:tc>
        <w:tc>
          <w:tcPr>
            <w:tcW w:type="dxa" w:w="71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填写内容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队名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命题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如果来到全球领先的合成氨生产装置现场，如何用AI打造一个生产调度专家？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方案标题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氨智领航调控师：产供销全线联动数字调度长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一句话摘要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在不触碰DCS/SIS底层控制的前提下，打通MES、IoT、DCS、APC、压机、热电和经营数据，围绕液氨去向、下游需求、市场价格、能源波动和装置负荷，告诉调度员保谁、降谁、停谁、是否外采、风险在哪里。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成员介绍与分工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邓植斤：负责命题洞察、行业资料研读、系统架构、平台原型、飞书协同设计、提交材料与GitHub交付。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使用的飞书AI能力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飞书互动卡片、审批、多维表格、Aily问答入口、事件回调、班后复盘知识沉淀。</w:t>
            </w:r>
          </w:p>
        </w:tc>
      </w:tr>
    </w:tbl>
    <w:p>
      <w:pPr>
        <w:pStyle w:val="Heading1"/>
      </w:pPr>
      <w:r>
        <w:t>二、方案成果展示</w:t>
      </w:r>
    </w:p>
    <w:p>
      <w:r>
        <w:rPr>
          <w:rFonts w:ascii="Calibri" w:hAnsi="Calibri" w:eastAsia="Microsoft YaHei"/>
        </w:rPr>
        <w:t>本方案已形成可本地打开的调控师工作台、数据模型、架构文档、飞书协同设计、操作手册、参考文献与决赛补充材料。平台主界面不平均展示所有能力，而是按决赛优先级组织：主赛道产供销协同与跨装置负荷联动，第二赛道稳定生产波动吸收，第三优先级设备弱信号预警，支撑底座经验沉淀与新人快速成长。</w:t>
      </w:r>
    </w:p>
    <w:p>
      <w:pPr>
        <w:pStyle w:val="Heading1"/>
      </w:pPr>
      <w:r>
        <w:t>三、命题场景与痛点</w:t>
      </w:r>
    </w:p>
    <w:p>
      <w:pPr>
        <w:pStyle w:val="ListBullet"/>
      </w:pPr>
      <w:r>
        <w:rPr>
          <w:rFonts w:ascii="Calibri" w:hAnsi="Calibri" w:eastAsia="Microsoft YaHei"/>
        </w:rPr>
        <w:t>产供销平衡难：液氨有限、下游需求、市场行情、能源波动和装置负荷同时变化，调度长需要跨系统人工汇总后再判断。</w:t>
      </w:r>
    </w:p>
    <w:p>
      <w:pPr>
        <w:pStyle w:val="ListBullet"/>
      </w:pPr>
      <w:r>
        <w:rPr>
          <w:rFonts w:ascii="Calibri" w:hAnsi="Calibri" w:eastAsia="Microsoft YaHei"/>
        </w:rPr>
        <w:t>稳定生产波动吸收难：下游需求、供应工程限制或能源窗口变化时，DCS能管局部回路，但难以自动完成跨装置生产策略联动。</w:t>
      </w:r>
    </w:p>
    <w:p>
      <w:pPr>
        <w:pStyle w:val="ListBullet"/>
      </w:pPr>
      <w:r>
        <w:rPr>
          <w:rFonts w:ascii="Calibri" w:hAnsi="Calibri" w:eastAsia="Microsoft YaHei"/>
        </w:rPr>
        <w:t>经验传承难：成熟调度长培养周期长，专家判断常沉淀在经验和口头交接中，未采纳原因没有被结构化利用。</w:t>
      </w:r>
    </w:p>
    <w:p>
      <w:pPr>
        <w:pStyle w:val="Heading2"/>
      </w:pPr>
      <w:r>
        <w:t>三（一）决赛优先级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方向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解决的问题</w:t>
            </w:r>
          </w:p>
        </w:tc>
        <w:tc>
          <w:tcPr>
            <w:tcW w:type="dxa" w:w="201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Demo抓手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主赛道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产供销协同与跨装置负荷联动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告诉调度员现在该保谁、降谁、停谁、是否外采、风险在哪里。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液氨去向重分配、硝酸/尿素/纯碱/复合肥/外售贡献排序。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第二赛道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稳定生产下的波动吸收与提前预警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给出跨装置负荷节奏，目标不是最大产量，而是平稳、经济、安全运行。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下游降负荷后合成氨负荷、液氨库存、公辅能源的联动节奏。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第三优先级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关键设备弱信号预警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给新操作工黄灯提醒：哪里在变、可能坏到什么程度、先查什么、通知谁。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压缩机健康下降、喘振裕度变化、床层温升异常的趋势提示。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支撑底座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经验沉淀与新人快速成长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把判断过程拆成案例、规则、问答和仿真训练样本。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飞书Base复盘库、Aily问答、新人场景训练清单。</w:t>
            </w:r>
          </w:p>
        </w:tc>
      </w:tr>
    </w:tbl>
    <w:p>
      <w:pPr>
        <w:pStyle w:val="Heading1"/>
      </w:pPr>
      <w:r>
        <w:t>四、方案优势与创新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不同于常规方案之处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产供销主赛道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液氨去向、下游需求、价格行情、边际贡献、装置负荷联动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把企业最紧迫的全线平衡放在第一位。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稳产第二赛道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需求波动、能源窗口、公辅约束、库存变化的吸收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目标不是最大产量，而是平稳、经济、安全运行。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机理约束、PINN校准、APC/RTO接口、MPC建议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不只喊大模型，先保证合成氨现场可执行。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稳氨/保供/护机三案和班次事实表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把推荐落到班前会和MES计划口径。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全线贯通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MES、IoT、DCS、APC、压机、热电和经营数据同屏编排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把调度长手工梳理系统信息的过程固化为数字调度长。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飞书闭环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卡片、审批、多维表格、Aily问答、事件回调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让AI建议进入企业真实协同链。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采纳/驳回/偏差/收益归因沉淀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把专家否决原因也变成训练样本。</w:t>
            </w:r>
          </w:p>
        </w:tc>
      </w:tr>
    </w:tbl>
    <w:p>
      <w:pPr>
        <w:pStyle w:val="Heading1"/>
      </w:pPr>
      <w:r>
        <w:t>五、业务范围与落地价值</w:t>
      </w:r>
    </w:p>
    <w:p>
      <w:r>
        <w:rPr>
          <w:rFonts w:ascii="Calibri" w:hAnsi="Calibri" w:eastAsia="Microsoft YaHei"/>
        </w:rPr>
        <w:t>首批覆盖合成氨、液氨库存、尿素溶液、复合肥、联碱配套和液氨外售的协同调度。价值指标采用保守口径：高优订单满足率、单位氨能耗、液氨库存占用、调度耗时、异常预警提前量和采纳方案收益归因。</w:t>
      </w:r>
    </w:p>
    <w:p>
      <w:pPr>
        <w:pStyle w:val="Heading2"/>
      </w:pPr>
      <w:r>
        <w:t>五（一）全产业链贯通价值</w:t>
      </w:r>
    </w:p>
    <w:p>
      <w:r>
        <w:rPr>
          <w:rFonts w:ascii="Calibri" w:hAnsi="Calibri" w:eastAsia="Microsoft YaHei"/>
        </w:rPr>
        <w:t>现有系统各自有价值，但信息分散在MES、IoT、DCS、APC、压机软件、热电平台和经营数据中。实际调度依赖调度长把这些信息一条条梳理出来，再凭经验判断液氨去向、下游负荷、能源窗口、设备风险和订单优先级。平台的核心价值是把这套经验流程数字化，让一线人员看到同一张产供销联动事实表，并把老调度长的判断沉淀给新人复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痛点</w:t>
            </w:r>
          </w:p>
        </w:tc>
        <w:tc>
          <w:tcPr>
            <w:tcW w:type="dxa" w:w="432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平台回应</w:t>
            </w:r>
          </w:p>
        </w:tc>
        <w:tc>
          <w:tcPr>
            <w:tcW w:type="dxa" w:w="33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落地效果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系统孤岛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汇聚MES计划、DCS/IoT过程数据、热电APC、公辅约束、压机/机组健康和市场行情。</w:t>
            </w:r>
          </w:p>
        </w:tc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减少人工跨系统查数。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调度长培养周期长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把采纳、驳回、异常复盘和专家判断沉淀为知识库与Aily问答。</w:t>
            </w:r>
          </w:p>
        </w:tc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新人能按场景学习，而不是只靠跟班经验。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跨线取舍难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在同一页面比较安全、流程连续、边际贡献、固定成本吸收和停开成本。</w:t>
            </w:r>
          </w:p>
        </w:tc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形成可解释的产供销联动建议。</w:t>
            </w:r>
          </w:p>
        </w:tc>
      </w:tr>
    </w:tbl>
    <w:p>
      <w:pPr>
        <w:pStyle w:val="Heading2"/>
      </w:pPr>
      <w:r>
        <w:t>五（二）边际贡献决策口径</w:t>
      </w:r>
    </w:p>
    <w:p>
      <w:r>
        <w:rPr>
          <w:rFonts w:ascii="Calibri" w:hAnsi="Calibri" w:eastAsia="Microsoft YaHei"/>
        </w:rPr>
        <w:t>产供销协同的核心不是简单比较售价与完全成本。某些下游产品在短期行情下行时，售价可能低于完全成本，但只要能覆盖变动成本并贡献部分折旧、固定人工、公辅摊销或战略订单价值，企业仍可能选择继续生产。平台因此采用“边际贡献+固定成本吸收+机会成本+停开成本”的综合口径，避免把复杂经营取舍简化成单一利润开关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判断项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为什么重要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平台输出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边际贡献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判断该产品是否至少覆盖原料、蒸汽、电力、包装、物流等增量成本。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继续开、降负荷或转供其他产品的经济理由。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固定成本吸收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连续生产可带走折旧、固定人工和部分公辅费用，即使完全成本口径暂时亏损也可能有价值。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解释“售价低于完全成本仍生产”的合理性。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液氨机会成本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液氨有限时，供尿素、纯碱、硝酸、复合肥或外售的替代收益不同。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单位液氨贡献排序和产品结构建议。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停开成本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停车重启会产生废料、时间、人员和物料损失。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当边际贡献接近零时，给出继续运行或停产的取舍依据。</w:t>
            </w:r>
          </w:p>
        </w:tc>
      </w:tr>
    </w:tbl>
    <w:p>
      <w:pPr>
        <w:pStyle w:val="Heading2"/>
      </w:pPr>
      <w:r>
        <w:t>五（三）跨装置调度的三条底线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底线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现场含义</w:t>
            </w:r>
          </w:p>
        </w:tc>
        <w:tc>
          <w:tcPr>
            <w:tcW w:type="dxa" w:w="38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平台处理方式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安全第一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任何经营收益都不能突破安环红线、DCS/SIS联锁边界和关键设备保护。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低置信或风险接近阈值时自动降级，只保留人工确认和风险处置建议。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流程不中断第二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连续流程一旦中断，重启耗时长、废料多、人员和物料损失高，尤其涉及气区和气轮机驱动系统。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识别上下游异常后先做跨装置负荷联动，评估是否能通过液氨分配、下游降负荷或能源错峰吸收波动。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特殊情况再取舍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确需中断时，不是简单停哪套装置，而是比较停空分、停合成气轮机、停下游装置的总损失。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把重启时间、废料、影响范围和专家规则纳入排序；同类已验证场景可优先保气轮机驱动关键系统，停空分需审批确认。</w:t>
            </w:r>
          </w:p>
        </w:tc>
      </w:tr>
    </w:tbl>
    <w:p>
      <w:pPr>
        <w:pStyle w:val="Heading2"/>
      </w:pPr>
      <w:r>
        <w:t>五（四）现有系统接入假设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系统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在现场承担的作用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本方案调用方式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MES/合成氨调控平台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日计划、班次执行、负荷调整记录和交接复盘。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审批通过后写计划摘要、交接说明和复盘结果。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IoT平台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采集合成氨DCS底层过程数据。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作为班次事实表的数据源，供AI只读分析。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合成氨DCS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合成氨主装置局部回路控制、顺控、报警和联锁。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读取DCS historian摘要，不直接写控制参数。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和利时DCS/热电APC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热电、公辅、蒸汽管网控制与优化。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读取热电约束余量、能耗窗口和APC优化结果，用于跨装置负荷联动。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SMC压机软件/康迪森机组数据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压缩机、气轮机驱动系统和关键机组健康监测。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用于弱信号预警、护机方案和特殊停机取舍。</w:t>
            </w:r>
          </w:p>
        </w:tc>
      </w:tr>
    </w:tbl>
    <w:p>
      <w:r>
        <w:rPr>
          <w:rFonts w:ascii="Calibri" w:hAnsi="Calibri" w:eastAsia="Microsoft YaHei"/>
        </w:rPr>
        <w:t>上述系统名称按导师口述记录，厂商及点位清单在企业试点前需由信息化、生产、设备和热电专业共同确认。</w:t>
      </w:r>
    </w:p>
    <w:p>
      <w:pPr>
        <w:pStyle w:val="Heading1"/>
      </w:pPr>
      <w:r>
        <w:t>六、飞书功能接入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业务动作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需要授权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推送目标负荷、风险指数、触发约束和确认按钮。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机器人发消息、目标群可见权限。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高风险负荷调整创建审批实例。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approval_code、审批API权限、审批人范围。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写入班次事实、采纳结果、未采纳原因、复盘结论。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目标表格协作者权限和记录读写权限。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Aily入口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调度员自然语言追问方案理由和异常处置。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知识源、工具动作与人工确认约束。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事件回调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接收卡片点击、审批通过/驳回、复盘提交。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事件订阅、公网回调地址或内网代理。</w:t>
            </w:r>
          </w:p>
        </w:tc>
      </w:tr>
    </w:tbl>
    <w:p>
      <w:r>
        <w:rPr>
          <w:rFonts w:ascii="Calibri" w:hAnsi="Calibri" w:eastAsia="Microsoft YaHei"/>
        </w:rPr>
        <w:t>本轮已完成飞书原型交付：决赛完整方案在线稿 https://www.feishu.cn/docx/AYyad50itooOPxxZpQacgSqIn2c ；合成氨调度复盘库 Base 原型 https://www.feishu.cn/base/QzENbAkl1aYQGds8dBacqu6Inue ；决赛提交任务清单 https://applink.feishu.cn/client/todo/task_list?guid=2ab6c357-dfeb-4f75-9aa3-781dc7ac7244 。企业真实试点时，可将互动卡片按钮、审批状态、任务关闭和多维表格记录通过事件回调串成一条执行链。</w:t>
      </w:r>
    </w:p>
    <w:p>
      <w:pPr>
        <w:pStyle w:val="Heading2"/>
      </w:pPr>
      <w:r>
        <w:t>六（一）飞书模块对命题三大挑战的支撑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命题挑战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飞书模块支撑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形成的企业资产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Aily追问、Base复盘库和事件回调把模型理由、历史采纳效果、未采纳原因连接起来，使下一次方案不只依赖单次算法输出。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可检索的合成氨调度案例库、异常处置库和模型校准样本。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互动卡片把方案送到当班群，审批承接高风险调整，任务监督跟踪执行与复盘，减少口头传递和跨层级等待。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确认人、审批人、执行人、截止时间和关闭结果的责任链。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多维表格沉淀班次事实、未采纳原因、班长备注、执行偏差和收益归因，Aily在授权知识源内回答新调度员追问。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班组经验从口头交接转化为可复用、可审计、可迭代的数据资产。</w:t>
            </w:r>
          </w:p>
        </w:tc>
      </w:tr>
    </w:tbl>
    <w:p>
      <w:pPr>
        <w:pStyle w:val="Heading1"/>
      </w:pPr>
      <w:r>
        <w:t>七、落地验证</w:t>
      </w:r>
    </w:p>
    <w:p>
      <w:pPr>
        <w:pStyle w:val="ListNumber"/>
      </w:pPr>
      <w:r>
        <w:rPr>
          <w:rFonts w:ascii="Calibri" w:hAnsi="Calibri" w:eastAsia="Microsoft YaHei"/>
        </w:rPr>
        <w:t>30天：数据口径、接口映射、飞书草案、班次事实表。</w:t>
      </w:r>
    </w:p>
    <w:p>
      <w:pPr>
        <w:pStyle w:val="ListNumber"/>
      </w:pPr>
      <w:r>
        <w:rPr>
          <w:rFonts w:ascii="Calibri" w:hAnsi="Calibri" w:eastAsia="Microsoft YaHei"/>
        </w:rPr>
        <w:t>60天：影子运行、人工调度对比、未采纳原因沉淀。</w:t>
      </w:r>
    </w:p>
    <w:p>
      <w:pPr>
        <w:pStyle w:val="ListNumber"/>
      </w:pPr>
      <w:r>
        <w:rPr>
          <w:rFonts w:ascii="Calibri" w:hAnsi="Calibri" w:eastAsia="Microsoft YaHei"/>
        </w:rPr>
        <w:t>90天：低风险小闭环、收益归因、停用条件验证。</w:t>
      </w:r>
    </w:p>
    <w:p>
      <w:pPr>
        <w:pStyle w:val="Heading1"/>
      </w:pPr>
      <w:r>
        <w:t>八、方案体验入口与演示说明</w:t>
      </w:r>
    </w:p>
    <w:p>
      <w:r>
        <w:rPr>
          <w:rFonts w:ascii="Calibri" w:hAnsi="Calibri" w:eastAsia="Microsoft YaHei"/>
        </w:rPr>
        <w:t>体验入口：本地打开 D:\云图-合成氨-邓植斤\index.html，或访问 GitHub 仓库 https://github.com/zhijinDeng/synthesis-ammonia 查看完整静态平台、数据模型和提交材料。</w:t>
      </w:r>
    </w:p>
    <w:p>
      <w:r>
        <w:rPr>
          <w:rFonts w:ascii="Calibri" w:hAnsi="Calibri" w:eastAsia="Microsoft YaHei"/>
        </w:rPr>
        <w:t>演示流程控制在3-5分钟：先切换稳氨、保供、护机、错峰四个场景；再拖动订单、能源、设备健康和库存滑块；随后展示APC/RTO对接、机理/PINN可信模型、飞书卡片/审批/多维表格复盘和知识库自迭代。</w:t>
      </w:r>
    </w:p>
    <w:p>
      <w:pPr>
        <w:pStyle w:val="Heading1"/>
      </w:pPr>
      <w:r>
        <w:t>九、自由展示区</w:t>
      </w:r>
    </w:p>
    <w:p>
      <w:pPr>
        <w:pStyle w:val="ListBullet"/>
      </w:pPr>
      <w:r>
        <w:rPr>
          <w:rFonts w:ascii="Calibri" w:hAnsi="Calibri" w:eastAsia="Microsoft YaHei"/>
        </w:rPr>
        <w:t>项目已形成可交互页面、可复现生成脚本、数据模型、Word提交材料和GitHub开放仓库。</w:t>
      </w:r>
    </w:p>
    <w:p>
      <w:pPr>
        <w:pStyle w:val="ListBullet"/>
      </w:pPr>
      <w:r>
        <w:rPr>
          <w:rFonts w:ascii="Calibri" w:hAnsi="Calibri" w:eastAsia="Microsoft YaHei"/>
        </w:rPr>
        <w:t>方案语言保持企业现场视角，聚焦装置运行、班组协同、收益核算和知识沉淀。</w:t>
      </w:r>
    </w:p>
    <w:p>
      <w:pPr>
        <w:pStyle w:val="ListBullet"/>
      </w:pPr>
      <w:r>
        <w:rPr>
          <w:rFonts w:ascii="Calibri" w:hAnsi="Calibri" w:eastAsia="Microsoft YaHei"/>
        </w:rPr>
        <w:t>首轮优势是结构化闭环和落地路径；决赛版进一步补上控制体系对接、模型可信度和飞书组织协同。</w:t>
      </w:r>
    </w:p>
    <w:p>
      <w:pPr>
        <w:pStyle w:val="Heading1"/>
      </w:pPr>
      <w:r>
        <w:t>十、附录</w:t>
      </w:r>
    </w:p>
    <w:p>
      <w:pPr>
        <w:pStyle w:val="ListBullet"/>
      </w:pPr>
      <w:r>
        <w:rPr>
          <w:rFonts w:ascii="Calibri" w:hAnsi="Calibri" w:eastAsia="Microsoft YaHei"/>
        </w:rPr>
        <w:t>附录A：参考文献与数据依据见 04_参考文献与数据依据.docx。</w:t>
      </w:r>
    </w:p>
    <w:p>
      <w:pPr>
        <w:pStyle w:val="ListBullet"/>
      </w:pPr>
      <w:r>
        <w:rPr>
          <w:rFonts w:ascii="Calibri" w:hAnsi="Calibri" w:eastAsia="Microsoft YaHei"/>
        </w:rPr>
        <w:t>附录B：调控师班组使用流程见 03_调控师操作手册.docx。</w:t>
      </w:r>
    </w:p>
    <w:p>
      <w:pPr>
        <w:pStyle w:val="ListBullet"/>
      </w:pPr>
      <w:r>
        <w:rPr>
          <w:rFonts w:ascii="Calibri" w:hAnsi="Calibri" w:eastAsia="Microsoft YaHei"/>
        </w:rPr>
        <w:t>附录C：飞书真实接入需企业自建应用、审批定义、多维表格权限和事件回调配置。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