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整体解决方案书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氨智领航调控师：面向云图合成氨装置的软件层成本优化平台</w:t>
      </w:r>
    </w:p>
    <w:p>
      <w:pPr>
        <w:pStyle w:val="Heading1"/>
      </w:pPr>
      <w:r>
        <w:t>1. 方案定位</w:t>
      </w:r>
    </w:p>
    <w:p>
      <w:r>
        <w:rPr>
          <w:rFonts w:ascii="Calibri" w:hAnsi="Calibri" w:eastAsia="Microsoft YaHei"/>
        </w:rPr>
        <w:t>平台不是替代DCS/SIS/APC的控制系统，而是位于生产运行管理层的智能调度副驾驶。它把实时工况、订单、库存、设备健康、能源窗口和专家规则组织成班次级决策，帮助调度员在安全边界内找到吨氨综合成本更优的执行方案。</w:t>
      </w:r>
    </w:p>
    <w:p>
      <w:pPr>
        <w:pStyle w:val="Heading1"/>
      </w:pPr>
      <w:r>
        <w:t>2. 总体架构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层级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核心对象</w:t>
            </w:r>
          </w:p>
        </w:tc>
        <w:tc>
          <w:tcPr>
            <w:tcW w:type="dxa" w:w="43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交付内容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数据底座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MES、ERP、DCS historian、罐区、EAM点检、飞书记录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班次事实表、口径字典、数据质量评分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可信模型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机理约束、PINN反应器校准、设备健康预测、库存/订单预测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模型版本、置信度、漂移监控、回放验证报告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优化调度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RTO经济目标、APC/MPC连续负荷建议、启发式现场规则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稳氨/保供/护机三案、风险解释、回滚条件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协同执行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飞书卡片、审批、多维表格、交接摘要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确认人、审批人、执行时间、采纳/驳回原因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知识迭代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合成负荷指令库、异常经验库、未采纳原因库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周度规则修订、模型校准样本、经验复用清单</w:t>
            </w:r>
          </w:p>
        </w:tc>
      </w:tr>
    </w:tbl>
    <w:p>
      <w:pPr>
        <w:pStyle w:val="Heading1"/>
      </w:pPr>
      <w:r>
        <w:t>3. 现有系统对接口径（待企业确认）</w:t>
      </w:r>
    </w:p>
    <w:p>
      <w:r>
        <w:rPr>
          <w:rFonts w:ascii="Calibri" w:hAnsi="Calibri" w:eastAsia="Microsoft YaHei"/>
        </w:rPr>
        <w:t>企业导师补充了云图现场正在使用或建设中的关键系统。决赛方案据此把AI调控师定位为现有商业软件之上的“跨系统调度编排层”，不重做DCS、MES、APC或压机软件，而是理清各系统主要功能、数据流向和写回边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5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层级</w:t>
            </w:r>
          </w:p>
        </w:tc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现场系统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主要作用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AI调控师边界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运行管理层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MES与合成氨调控平台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承接日计划、班次执行、交接摘要、负荷调整记录和复盘闭环。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审批通过后只写计划摘要、交接说明和复盘结果。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数据采集层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IoT平台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读取负荷、温度、压力、流量、电耗、蒸汽、罐区等实时/准实时数据。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作为AI调控师的只读事实源，不替代DCS控制。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生产控制层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合成氨DCS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完成合成氨主装置的局部回路控制、顺控、报警和联锁保护。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AI只读DCS historian摘要，不直接写控制参数。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热电与公辅控制层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和利时DCS与热电APC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提供蒸汽、电力、公辅负荷、管网约束和热电优化结果。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读取热电APC约束余量和能耗窗口，生成跨装置调度建议。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机组与压机层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SMC压机软件、康迪森机组数据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提供离心压缩机、气轮机驱动系统、关键机组健康和弱信号趋势。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用于设备护机、弱信号预警和特殊停机取舍，不直接触发开停车。</w:t>
            </w:r>
          </w:p>
        </w:tc>
      </w:tr>
    </w:tbl>
    <w:p>
      <w:pPr>
        <w:pStyle w:val="ListBullet"/>
      </w:pPr>
      <w:r>
        <w:rPr>
          <w:rFonts w:ascii="Calibri" w:hAnsi="Calibri" w:eastAsia="Microsoft YaHei"/>
        </w:rPr>
        <w:t>MES与合成氨调控平台：导师口述合成氨调控平台为“海尔豪斯”，具体厂商名称待企业确认。</w:t>
      </w:r>
    </w:p>
    <w:p>
      <w:pPr>
        <w:pStyle w:val="ListBullet"/>
      </w:pPr>
      <w:r>
        <w:rPr>
          <w:rFonts w:ascii="Calibri" w:hAnsi="Calibri" w:eastAsia="Microsoft YaHei"/>
        </w:rPr>
        <w:t>IoT平台：采集合成氨DCS底层数据，形成可供上层系统读取的过程数据底座。</w:t>
      </w:r>
    </w:p>
    <w:p>
      <w:pPr>
        <w:pStyle w:val="ListBullet"/>
      </w:pPr>
      <w:r>
        <w:rPr>
          <w:rFonts w:ascii="Calibri" w:hAnsi="Calibri" w:eastAsia="Microsoft YaHei"/>
        </w:rPr>
        <w:t>合成氨DCS：导师口述为中控体系，具体名称待企业确认。</w:t>
      </w:r>
    </w:p>
    <w:p>
      <w:pPr>
        <w:pStyle w:val="ListBullet"/>
      </w:pPr>
      <w:r>
        <w:rPr>
          <w:rFonts w:ascii="Calibri" w:hAnsi="Calibri" w:eastAsia="Microsoft YaHei"/>
        </w:rPr>
        <w:t>和利时DCS与热电APC：热电侧采用和利时DCS，并已有APC先进控制用于热电管网优化。</w:t>
      </w:r>
    </w:p>
    <w:p>
      <w:pPr>
        <w:pStyle w:val="ListBullet"/>
      </w:pPr>
      <w:r>
        <w:rPr>
          <w:rFonts w:ascii="Calibri" w:hAnsi="Calibri" w:eastAsia="Microsoft YaHei"/>
        </w:rPr>
        <w:t>SMC压机软件、康迪森机组数据：导师口述机组数据已接入和利时平台，具体点位清单待企业确认。</w:t>
      </w:r>
    </w:p>
    <w:p>
      <w:pPr>
        <w:pStyle w:val="Heading1"/>
      </w:pPr>
      <w:r>
        <w:t>4. 飞书功能模块在方案中的位置</w:t>
      </w:r>
    </w:p>
    <w:p>
      <w:r>
        <w:rPr>
          <w:rFonts w:ascii="Calibri" w:hAnsi="Calibri" w:eastAsia="Microsoft YaHei"/>
        </w:rPr>
        <w:t>飞书不是附加展示入口，而是本方案把算法建议变成现场执行、责任留痕和知识迭代的组织操作层。合成氨调度建议只有进入当班群、审批链、任务监督和复盘库，才真正回应命题提出的指挥效率与知识传承问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飞书功能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解决的命题问题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合成氨场景中的动作</w:t>
            </w:r>
          </w:p>
        </w:tc>
        <w:tc>
          <w:tcPr>
            <w:tcW w:type="dxa" w:w="230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沉淀数据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把目标负荷、风险指数、触发约束、收益口径和确认按钮推送到当班调度群。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card_action、operator_confirm、reject_reason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安全边界与责任链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高风险升降负荷、护机降负荷、液氨库存越界处置进入班长/主管/安环确认。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approval_instance、approval_status、rollback_condition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多维表格Base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记录采纳/驳回、实际负荷、单位氨能耗、库存变化、未采纳原因和班后复盘。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shift_fact、execution_delta、lesson_learned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飞书任务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执行监督弱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采纳后自动生成跟踪任务，提醒核对DCS historian实际负荷、复盘收益归因和补充异常说明。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owner、due_time、checklist_status、close_note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Aily问答/事件回调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调度寻优解释与自迭代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调度员追问方案理由；卡片点击、审批结果和复盘提交通过回调写入知识库。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query_log、callback_event、idempotency_key</w:t>
            </w:r>
          </w:p>
        </w:tc>
      </w:tr>
    </w:tbl>
    <w:p>
      <w:pPr>
        <w:pStyle w:val="Heading1"/>
      </w:pPr>
      <w:r>
        <w:t>5. 与APC/RTO体系的接口关系</w:t>
      </w:r>
    </w:p>
    <w:p>
      <w:pPr>
        <w:pStyle w:val="ListBullet"/>
      </w:pPr>
      <w:r>
        <w:rPr>
          <w:rFonts w:ascii="Calibri" w:hAnsi="Calibri" w:eastAsia="Microsoft YaHei"/>
        </w:rPr>
        <w:t>APC侧：平台不覆盖底层控制回路，只读取关键受控变量和约束余量，输出班次级目标负荷、升降负荷速率建议和需保持的边界条件。</w:t>
      </w:r>
    </w:p>
    <w:p>
      <w:pPr>
        <w:pStyle w:val="ListBullet"/>
      </w:pPr>
      <w:r>
        <w:rPr>
          <w:rFonts w:ascii="Calibri" w:hAnsi="Calibri" w:eastAsia="Microsoft YaHei"/>
        </w:rPr>
        <w:t>RTO侧：平台把天然气/煤气化、蒸汽、电力、液氨库存占用、订单延期、外售机会成本、边际贡献和固定成本吸收转化为经济目标，供实时优化或离线回放使用。</w:t>
      </w:r>
    </w:p>
    <w:p>
      <w:pPr>
        <w:pStyle w:val="ListBullet"/>
      </w:pPr>
      <w:r>
        <w:rPr>
          <w:rFonts w:ascii="Calibri" w:hAnsi="Calibri" w:eastAsia="Microsoft YaHei"/>
        </w:rPr>
        <w:t>PINN/机理侧：以合成塔热平衡、反应器温升、氢氮比、循环气量、压缩机效率作为模型约束，避免纯数据模型给出现场不可执行的方案。</w:t>
      </w:r>
    </w:p>
    <w:p>
      <w:pPr>
        <w:pStyle w:val="ListBullet"/>
      </w:pPr>
      <w:r>
        <w:rPr>
          <w:rFonts w:ascii="Calibri" w:hAnsi="Calibri" w:eastAsia="Microsoft YaHei"/>
        </w:rPr>
        <w:t>MES侧：审批通过后只写入计划、交接摘要和复盘记录，不直接写入DCS/SIS控制参数。</w:t>
      </w:r>
    </w:p>
    <w:p>
      <w:pPr>
        <w:pStyle w:val="Heading1"/>
      </w:pPr>
      <w:r>
        <w:t>6. 典型场景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场景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触发条件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推荐动作</w:t>
            </w:r>
          </w:p>
        </w:tc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企业收益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订单冲刺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尿素溶液/复合肥用氨急单、液氨库存偏低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提高合成回路负荷，压缩弹性外售，优先保障高优订单。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减少延期与跨单元等待。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能源错峰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蒸汽/电力/原料窗口价格上行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高价窗口压产，低价窗口补库存，保持安全库存。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降低吨氨边际能耗成本。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设备护机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循环压缩机健康评分下降或合成塔温升异常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降低负荷上限，插入点检窗口，冻结激进方案。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降低非计划停车风险。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低置信降级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关键点位延迟、订单口径不一致、模型漂移超阈值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只给规则提醒，不回写计划，进入人工确认。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保证系统可信边界。</w:t>
            </w:r>
          </w:p>
        </w:tc>
      </w:tr>
    </w:tbl>
    <w:p>
      <w:pPr>
        <w:pStyle w:val="Heading1"/>
      </w:pPr>
      <w:r>
        <w:t>7. 全产业链系统孤岛贯通</w:t>
      </w:r>
    </w:p>
    <w:p>
      <w:r>
        <w:rPr>
          <w:rFonts w:ascii="Calibri" w:hAnsi="Calibri" w:eastAsia="Microsoft YaHei"/>
        </w:rPr>
        <w:t>企业导师进一步指出，当前MES、DCS、IoT、APC、压机软件、热电平台和经营数据更像多个孤岛。真正困难的不是某一个系统有没有数据，而是调度长需要靠经验从庞大的系统中逐条抽取信息，再把价格、库存、订单、装置负荷、设备状态和公辅约束汇总判断。培养一个成熟调度长往往需要五年甚至更久，这正是AI调控师最应补位的地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孤岛问题</w:t>
            </w:r>
          </w:p>
        </w:tc>
        <w:tc>
          <w:tcPr>
            <w:tcW w:type="dxa" w:w="25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人工调度长当前做法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AI调控师补位方式</w:t>
            </w:r>
          </w:p>
        </w:tc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企业价值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信息分散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从MES、DCS、IoT、压机、热电和经营系统逐项查看。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自动汇聚班次事实表，形成订单、液氨、下游、设备、公辅、行情同屏口径。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减少信息搜集时间。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判断依赖经验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依靠调度长多年经验判断哪些点位、库存、价格和订单真正重要。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把历史采纳、驳回、事故复盘和专家规则转成可检索的调度知识图谱。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缩短新人培养周期。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跨线联动难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人工判断液氨去向、下游负荷、热电约束和设备护机之间的取舍。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输出产供销联动三案：保安全、保连续、保贡献，并解释牺牲项和回滚条件。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降低错失窗口和误判风险。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复盘沉淀弱</w:t>
            </w:r>
          </w:p>
        </w:tc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很多判断停留在口头交接或个人经验里。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通过飞书任务、审批和Base复盘沉淀为可复用样本。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形成企业级调度经验资产。</w:t>
            </w:r>
          </w:p>
        </w:tc>
      </w:tr>
    </w:tbl>
    <w:p>
      <w:pPr>
        <w:pStyle w:val="Heading1"/>
      </w:pPr>
      <w:r>
        <w:t>8. 产供销经济取舍口径</w:t>
      </w:r>
    </w:p>
    <w:p>
      <w:r>
        <w:rPr>
          <w:rFonts w:ascii="Calibri" w:hAnsi="Calibri" w:eastAsia="Microsoft YaHei"/>
        </w:rPr>
        <w:t>产供销调度不能简单按“售价高于完全成本才生产”判断。化工连续装置存在折旧、人工、公辅和装置重启等固定或半固定成本，某个下游产品即使短期售价低于完全成本，只要能覆盖变动成本、贡献一部分固定成本、维持流程连续或保障战略订单，也可能仍然值得开；反之，若边际贡献为负且占用稀缺液氨、能源或关键设备能力，则应考虑降负荷或停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测算项</w:t>
            </w:r>
          </w:p>
        </w:tc>
        <w:tc>
          <w:tcPr>
            <w:tcW w:type="dxa" w:w="280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现场含义</w:t>
            </w:r>
          </w:p>
        </w:tc>
        <w:tc>
          <w:tcPr>
            <w:tcW w:type="dxa" w:w="48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调控师使用方式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销售价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尿素、纯碱、硝酸、复合肥、液氨外售等实时或预测行情。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识别价格趋势，但不单独作为开停依据。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变动成本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原料、蒸汽、电力、包装、物流等随产量变化的成本。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判断产品是否至少覆盖直接增量成本。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边际贡献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销售收入扣除变动成本后对折旧、人工、公辅和固定费用的贡献。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售价低于完全成本但边际贡献为正时，可作为“继续开”的理由之一。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固定成本吸收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连续开车带走折旧、固定人工、装置维持费用和部分公辅摊销。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避免把短期账面亏损误判为必须停产。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机会成本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液氨有限时，供硝酸、尿素、纯碱、复合肥或外售之间的替代收益。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选择单位液氨综合贡献更高且不破坏安全连续性的去向。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停开成本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停车、重启、废料、人员和物料损失。</w:t>
            </w:r>
          </w:p>
        </w:tc>
        <w:tc>
          <w:tcPr>
            <w:tcW w:type="dxa" w:w="48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当边际贡献接近零时，停开成本可能决定是否继续运行。</w:t>
            </w:r>
          </w:p>
        </w:tc>
      </w:tr>
    </w:tbl>
    <w:p>
      <w:pPr>
        <w:pStyle w:val="Heading1"/>
      </w:pPr>
      <w:r>
        <w:t>9. 跨装置联动的调度优先级</w:t>
      </w:r>
    </w:p>
    <w:p>
      <w:r>
        <w:rPr>
          <w:rFonts w:ascii="Calibri" w:hAnsi="Calibri" w:eastAsia="Microsoft YaHei"/>
        </w:rPr>
        <w:t>企业导师补充的关键现场经验是：合成氨调度不能只看当班利润，必须先保安全，再保流程连续，只有在流程确实需要中断时才进入特殊取舍。DCS可以完成液位、阀门、局部顺控和联锁保护，但难以自动判断下游异常、气区设备、能源窗口和产品结构变化后的跨大单元联动，因此本方案把这部分做成AI调控师的规则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2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判断口径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调控师动作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留痕与边界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1. 安全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安环红线、SIS/DCS联锁、罐区压力、压缩机/合成塔风险接近阈值。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冻结增产和高收益方案，只保留降风险、稳流程、人工确认动作。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不绕过DCS/SIS；触发原因进入审批和班后复盘。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2. 流程不中断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气化、净化、合成、空分、气轮机驱动系统和液氨去向的连续性。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优先做跨装置负荷联动，减少停车后重启时间、废料、人员和物料损失。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输出重启成本、废料成本、影响范围和回滚条件。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3. 特殊取舍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流程确需中断时，比较停空分、停合成气轮机或停下游装置的代价。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按安全、重启复杂度、废料损失、对主流程影响排序；已验证同类场景优先保气轮机驱动关键系统，停空分方案需班长/主管确认。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作为专家规则，不做前端自动执行；每次结果回写知识库。</w:t>
            </w:r>
          </w:p>
        </w:tc>
      </w:tr>
    </w:tbl>
    <w:p>
      <w:pPr>
        <w:pStyle w:val="Heading1"/>
      </w:pPr>
      <w:r>
        <w:t>10. 30/60/90天落地路径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0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阶段</w:t>
            </w:r>
          </w:p>
        </w:tc>
        <w:tc>
          <w:tcPr>
            <w:tcW w:type="dxa" w:w="237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目标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交付物</w:t>
            </w:r>
          </w:p>
        </w:tc>
        <w:tc>
          <w:tcPr>
            <w:tcW w:type="dxa" w:w="295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验收口径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统一数据口径和班次事实表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接口清单、字段字典、数据质量报告、飞书协同草案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关键字段完整、调度员能核对口径。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60天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影子运行对比人工调度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每班三案、采纳/未采纳原因、回放报告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覆盖早晚班、急单、库存偏低、设备护机场景。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90天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低风险小闭环验收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审批链、MES计划回写、班后复盘、规则库版本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至少一项收益指标稳定改善或形成明确停用依据。</w:t>
            </w:r>
          </w:p>
        </w:tc>
      </w:tr>
    </w:tbl>
    <w:p>
      <w:pPr>
        <w:pStyle w:val="Heading1"/>
      </w:pPr>
      <w:r>
        <w:t>11. 验收与停用条件</w:t>
      </w:r>
    </w:p>
    <w:p>
      <w:pPr>
        <w:pStyle w:val="ListBullet"/>
      </w:pPr>
      <w:r>
        <w:rPr>
          <w:rFonts w:ascii="Calibri" w:hAnsi="Calibri" w:eastAsia="Microsoft YaHei"/>
        </w:rPr>
        <w:t>通过条件：高优订单满足率不低于人工调度；单位氨能耗、库存占用、调度耗时或异常预警提前量至少一项稳定改善。</w:t>
      </w:r>
    </w:p>
    <w:p>
      <w:pPr>
        <w:pStyle w:val="ListBullet"/>
      </w:pPr>
      <w:r>
        <w:rPr>
          <w:rFonts w:ascii="Calibri" w:hAnsi="Calibri" w:eastAsia="Microsoft YaHei"/>
        </w:rPr>
        <w:t>收益口径：只核算被采纳且实际执行的方案，剔除市场行情自然波动、检修计划、物流异常等外部影响。</w:t>
      </w:r>
    </w:p>
    <w:p>
      <w:pPr>
        <w:pStyle w:val="ListBullet"/>
      </w:pPr>
      <w:r>
        <w:rPr>
          <w:rFonts w:ascii="Calibri" w:hAnsi="Calibri" w:eastAsia="Microsoft YaHei"/>
        </w:rPr>
        <w:t>停用条件：关键数据延迟超过15分钟、核心点位缺失、模型连续两天偏差超阈值、安环红线接近且无法解释。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