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全线贯通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MES、IoT、DCS、APC、压机、热电和经营数据同屏编排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把调度长手工梳理系统信息的过程固化为数字调度长。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五（一）全产业链贯通价值</w:t>
      </w:r>
    </w:p>
    <w:p>
      <w:r>
        <w:rPr>
          <w:rFonts w:ascii="Calibri" w:hAnsi="Calibri" w:eastAsia="Microsoft YaHei"/>
        </w:rPr>
        <w:t>现有系统各自有价值，但信息分散在MES、IoT、DCS、APC、压机软件、热电平台和经营数据中。实际调度依赖调度长把这些信息一条条梳理出来，再凭经验判断液氨去向、下游负荷、能源窗口、设备风险和订单优先级。平台的核心价值是把这套经验流程数字化，让一线人员看到同一张产供销联动事实表，并把老调度长的判断沉淀给新人复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432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平台回应</w:t>
            </w:r>
          </w:p>
        </w:tc>
        <w:tc>
          <w:tcPr>
            <w:tcW w:type="dxa" w:w="33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落地效果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系统孤岛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汇聚MES计划、DCS/IoT过程数据、热电APC、公辅约束、压机/机组健康和市场行情。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减少人工跨系统查数。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调度长培养周期长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把采纳、驳回、异常复盘和专家判断沉淀为知识库与Aily问答。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新人能按场景学习，而不是只靠跟班经验。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跨线取舍难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在同一页面比较安全、流程连续、边际贡献、固定成本吸收和停开成本。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形成可解释的产供销联动建议。</w:t>
            </w:r>
          </w:p>
        </w:tc>
      </w:tr>
    </w:tbl>
    <w:p>
      <w:pPr>
        <w:pStyle w:val="Heading2"/>
      </w:pPr>
      <w:r>
        <w:t>五（二）边际贡献决策口径</w:t>
      </w:r>
    </w:p>
    <w:p>
      <w:r>
        <w:rPr>
          <w:rFonts w:ascii="Calibri" w:hAnsi="Calibri" w:eastAsia="Microsoft YaHei"/>
        </w:rPr>
        <w:t>产供销协同的核心不是简单比较售价与完全成本。某些下游产品在短期行情下行时，售价可能低于完全成本，但只要能覆盖变动成本并贡献部分折旧、固定人工、公辅摊销或战略订单价值，企业仍可能选择继续生产。平台因此采用“边际贡献+固定成本吸收+机会成本+停开成本”的综合口径，避免把复杂经营取舍简化成单一利润开关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连续生产可带走折旧、固定人工和部分公辅费用，即使完全成本口径暂时亏损也可能有价值。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解释“售价低于完全成本仍生产”的合理性。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液氨有限时，供尿素、纯碱、硝酸、复合肥或外售的替代收益不同。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单位液氨贡献排序和产品结构建议。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五（三）跨装置调度的三条底线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确需中断时，不是简单停哪套装置，而是比较停空分、停合成气轮机、停下游装置的总损失。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把重启时间、废料、影响范围和专家规则纳入排序；同类已验证场景可优先保气轮机驱动关键系统，停空分需审批确认。</w:t>
            </w:r>
          </w:p>
        </w:tc>
      </w:tr>
    </w:tbl>
    <w:p>
      <w:pPr>
        <w:pStyle w:val="Heading2"/>
      </w:pPr>
      <w:r>
        <w:t>五（四）现有系统接入假设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作为班次事实表的数据源，供AI只读分析。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读取DCS historian摘要，不直接写控制参数。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热电、公辅、蒸汽管网控制与优化。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读取热电约束余量、能耗窗口和APC优化结果，用于跨装置负荷联动。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压缩机、气轮机驱动系统和关键机组健康监测。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用于弱信号预警、护机方案和特殊停机取舍。</w:t>
            </w:r>
          </w:p>
        </w:tc>
      </w:tr>
    </w:tbl>
    <w:p>
      <w:r>
        <w:rPr>
          <w:rFonts w:ascii="Calibri" w:hAnsi="Calibri" w:eastAsia="Microsoft YaHei"/>
        </w:rPr>
        <w:t>上述系统名称按导师口述记录，厂商及点位清单在企业试点前需由信息化、生产、设备和热电专业共同确认。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