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51E75" w14:textId="77777777" w:rsidR="00176223" w:rsidRDefault="00000000">
      <w:pPr>
        <w:spacing w:after="80"/>
        <w:jc w:val="center"/>
        <w:rPr>
          <w:lang w:eastAsia="zh-CN"/>
        </w:rPr>
      </w:pPr>
      <w:r>
        <w:rPr>
          <w:b/>
          <w:color w:val="000000"/>
          <w:sz w:val="44"/>
          <w:lang w:eastAsia="zh-CN"/>
        </w:rPr>
        <w:t>开题报告</w:t>
      </w:r>
    </w:p>
    <w:p w14:paraId="06BE3F81" w14:textId="77777777" w:rsidR="00176223" w:rsidRDefault="00000000">
      <w:pPr>
        <w:spacing w:after="320"/>
        <w:jc w:val="center"/>
        <w:rPr>
          <w:lang w:eastAsia="zh-CN"/>
        </w:rPr>
      </w:pPr>
      <w:r>
        <w:rPr>
          <w:color w:val="505050"/>
          <w:sz w:val="22"/>
          <w:lang w:eastAsia="zh-CN"/>
        </w:rPr>
        <w:t>命题：如何打造合成氨智能生产调度专家</w:t>
      </w:r>
      <w:r>
        <w:rPr>
          <w:color w:val="505050"/>
          <w:sz w:val="22"/>
          <w:lang w:eastAsia="zh-CN"/>
        </w:rPr>
      </w:r>
      <w:r>
        <w:rPr>
          <w:color w:val="505050"/>
          <w:sz w:val="22"/>
          <w:lang w:eastAsia="zh-CN"/>
        </w:rPr>
      </w:r>
    </w:p>
    <w:p w14:paraId="79D782DE" w14:textId="4E379EB3" w:rsidR="00176223" w:rsidRDefault="00000000">
      <w:pPr>
        <w:pStyle w:val="21"/>
      </w:pPr>
      <w:r>
        <w:t>Part 1</w:t>
      </w:r>
      <w:r>
        <w:t>：命题前置分析与洞察</w:t>
      </w:r>
    </w:p>
    <w:p w14:paraId="5BC46D64" w14:textId="77777777" w:rsidR="00176223" w:rsidRDefault="00000000">
      <w:pPr>
        <w:rPr>
          <w:lang w:eastAsia="zh-CN"/>
        </w:rPr>
      </w:pPr>
      <w:r>
        <w:rPr>
          <w:lang w:eastAsia="zh-CN"/>
        </w:rPr>
        <w:t>这道题的核心不是再造一个看板，而是在合成氨硬件成本已接近极限后，用智能算法挖掘运行管理的软件降本空间。云图应城合成氨装置连接尿浆、复合肥、联碱和液氨外售，调度同时受氢氮比、合成塔温升、循环压缩机、液氨库存、下游订单和能耗约束。企业想看到的能力，是把行业资料、现场机理、专家经验和实时数据合成一个会寻优、会指挥、会复盘、会学习的数字调度员，而不是泛泛讲大模型。</w:t>
      </w:r>
      <w:r>
        <w:rPr>
          <w:lang w:eastAsia="zh-CN"/>
        </w:rPr>
      </w:r>
      <w:r>
        <w:rPr>
          <w:lang w:eastAsia="zh-CN"/>
        </w:rPr>
      </w:r>
    </w:p>
    <w:p w14:paraId="19A58127" w14:textId="46D021B4" w:rsidR="00176223" w:rsidRDefault="00000000">
      <w:pPr>
        <w:pStyle w:val="21"/>
        <w:rPr>
          <w:lang w:eastAsia="zh-CN"/>
        </w:rPr>
      </w:pPr>
      <w:r>
        <w:rPr>
          <w:lang w:eastAsia="zh-CN"/>
        </w:rPr>
        <w:t>Part 2</w:t>
      </w:r>
      <w:r>
        <w:rPr>
          <w:lang w:eastAsia="zh-CN"/>
        </w:rPr>
        <w:t>：整体解决方案设计</w:t>
      </w:r>
    </w:p>
    <w:p w14:paraId="7D587740" w14:textId="77777777" w:rsidR="00176223" w:rsidRDefault="00000000">
      <w:pPr>
        <w:rPr>
          <w:lang w:eastAsia="zh-CN"/>
        </w:rPr>
      </w:pPr>
      <w:r>
        <w:rPr>
          <w:lang w:eastAsia="zh-CN"/>
        </w:rPr>
        <w:t>我设计“合成氨智能调控师工作台”，先以影子运行接入MES日计划、ERP订单交期、DCS关键点位、液氨罐区、设备点检和能源价格，形成班次事实表。系统用预测模型滚动判断下游用氨、库存水位、吨氨能耗和设备风险；用机理约束校验氢氮比、合成塔床层温升、循环压缩机负荷、罐区压力、安全库存和负荷升降速率；再由优化器生成稳氨、保供、护机三案，给出目标负荷、下游分配、成本收益、风险边界和需人工确认事项。调度员采纳后，平台跟踪实际负荷、氢氮比偏差、液氨库存变化、订单完成和吨氨成本，自动生成班后复盘。每次采纳或未采纳原因都会进入合成负荷指令库、异常经验库和专家规则库，用于周度校准。落地按30/60/90天推进：先打通数据口径，再影子对比人工调度，最后小闭环验收。价值以高优订单满足率、单位氨能耗、库存占用、调度耗时和异常预警提前量量化；低置信、数据延迟或安环红线接近时自动降级人工调度。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45E3DA65" w14:textId="77777777" w:rsidR="00176223" w:rsidRDefault="00000000">
      <w:pPr>
        <w:pStyle w:val="1"/>
        <w:rPr>
          <w:lang w:eastAsia="zh-CN"/>
        </w:rPr>
      </w:pPr>
      <w:r>
        <w:rPr>
          <w:lang w:eastAsia="zh-CN"/>
        </w:rPr>
        <w:t>补充展开：为什么这样</w:t>
      </w:r>
      <w:proofErr w:type="gramStart"/>
      <w:r>
        <w:rPr>
          <w:lang w:eastAsia="zh-CN"/>
        </w:rPr>
        <w:t>答更贴合</w:t>
      </w:r>
      <w:proofErr w:type="gramEnd"/>
      <w:r>
        <w:rPr>
          <w:lang w:eastAsia="zh-CN"/>
        </w:rPr>
        <w:t>企业</w:t>
      </w:r>
    </w:p>
    <w:p w14:paraId="513E302E" w14:textId="77777777" w:rsidR="00176223" w:rsidRDefault="00000000">
      <w:pPr>
        <w:rPr>
          <w:lang w:eastAsia="zh-CN"/>
        </w:rPr>
      </w:pPr>
      <w:r>
        <w:rPr>
          <w:lang w:eastAsia="zh-CN"/>
        </w:rPr>
        <w:t>开题报告不能写成技术综述，而要先把产业语境讲清楚：云图的合成氨不只是单套装置稳产，而是连接尿浆、复合肥、联碱、液氨外售和氮肥自给率的经营枢纽。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59CB263B" w14:textId="77777777" w:rsidR="00176223" w:rsidRDefault="00000000">
      <w:pPr>
        <w:rPr>
          <w:lang w:eastAsia="zh-CN"/>
        </w:rPr>
      </w:pPr>
      <w:r>
        <w:rPr>
          <w:lang w:eastAsia="zh-CN"/>
        </w:rPr>
        <w:t>整体方案不能只写算法名词，还要交代架构完整性、创新差异、业务价值、试点路径和推广条件。因此本方案采用“影子运行先行、人机确认闭环、DCS/SIS 守底线、采纳效果进知识库”的路径，把系统定位为合成氨调度员的专业副驾驶。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6186973F" w14:textId="77777777" w:rsidR="00176223" w:rsidRDefault="00000000">
      <w:pPr>
        <w:pStyle w:val="1"/>
      </w:pPr>
      <w:proofErr w:type="spellStart"/>
      <w:r>
        <w:lastRenderedPageBreak/>
        <w:t>三大挑战与回答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744"/>
        <w:gridCol w:w="3888"/>
      </w:tblGrid>
      <w:tr w:rsidR="00176223" w14:paraId="412496ED" w14:textId="77777777">
        <w:trPr>
          <w:jc w:val="center"/>
        </w:trPr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548B9" w14:textId="77777777" w:rsidR="00176223" w:rsidRDefault="00000000">
            <w:r>
              <w:rPr>
                <w:b/>
              </w:rPr>
              <w:t>试题挑战</w:t>
            </w:r>
          </w:p>
        </w:tc>
        <w:tc>
          <w:tcPr>
            <w:tcW w:w="374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385D8" w14:textId="77777777" w:rsidR="00176223" w:rsidRDefault="00000000">
            <w:r>
              <w:rPr>
                <w:b/>
              </w:rPr>
              <w:t>方案回答</w:t>
            </w:r>
          </w:p>
        </w:tc>
        <w:tc>
          <w:tcPr>
            <w:tcW w:w="38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2A8DB" w14:textId="77777777" w:rsidR="00176223" w:rsidRDefault="00000000">
            <w:r>
              <w:rPr>
                <w:b/>
              </w:rPr>
              <w:t>企业可见成果</w:t>
            </w:r>
          </w:p>
        </w:tc>
      </w:tr>
      <w:tr w:rsidR="00176223" w14:paraId="6C791EC0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D2DF" w14:textId="77777777" w:rsidR="00176223" w:rsidRDefault="00000000">
            <w:r>
              <w:rPr>
                <w:sz w:val="19"/>
              </w:rPr>
              <w:t>调度寻优难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C8782" w14:textId="77777777" w:rsidR="00176223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吨氨成本雷达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稳氨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保供</w:t>
            </w:r>
            <w:r>
              <w:rPr>
                <w:sz w:val="19"/>
                <w:lang w:eastAsia="zh-CN"/>
              </w:rPr>
              <w:t>/</w:t>
            </w:r>
            <w:proofErr w:type="gramStart"/>
            <w:r>
              <w:rPr>
                <w:sz w:val="19"/>
                <w:lang w:eastAsia="zh-CN"/>
              </w:rPr>
              <w:t>护机三</w:t>
            </w:r>
            <w:proofErr w:type="gramEnd"/>
            <w:r>
              <w:rPr>
                <w:sz w:val="19"/>
                <w:lang w:eastAsia="zh-CN"/>
              </w:rPr>
              <w:t>案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合成回路约束孪生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75F8B" w14:textId="77777777" w:rsidR="00176223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看到每次降本来自原料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蒸汽、液氨库存、压缩机、合成塔还是负荷偏差</w:t>
            </w:r>
          </w:p>
        </w:tc>
      </w:tr>
      <w:tr w:rsidR="00176223" w14:paraId="489E400D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DA1FC" w14:textId="77777777" w:rsidR="00176223" w:rsidRDefault="00000000">
            <w:proofErr w:type="spellStart"/>
            <w:r>
              <w:rPr>
                <w:sz w:val="19"/>
              </w:rPr>
              <w:t>指挥效率低</w:t>
            </w:r>
            <w:proofErr w:type="spellEnd"/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C32AA" w14:textId="77777777" w:rsidR="00176223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合成氨调控师指令窗口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交接摘要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执行监督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06FD0" w14:textId="77777777" w:rsidR="00176223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缩短班前会准备和合成负荷调整确认时间</w:t>
            </w:r>
          </w:p>
        </w:tc>
      </w:tr>
      <w:tr w:rsidR="00176223" w14:paraId="1D5A80D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C031E" w14:textId="77777777" w:rsidR="00176223" w:rsidRDefault="00000000">
            <w:proofErr w:type="spellStart"/>
            <w:r>
              <w:rPr>
                <w:sz w:val="19"/>
              </w:rPr>
              <w:t>知识传承难</w:t>
            </w:r>
            <w:proofErr w:type="spellEnd"/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9248" w14:textId="77777777" w:rsidR="00176223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合成负荷指令库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氢氮比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床层温升</w:t>
            </w:r>
            <w:proofErr w:type="gramStart"/>
            <w:r>
              <w:rPr>
                <w:sz w:val="19"/>
                <w:lang w:eastAsia="zh-CN"/>
              </w:rPr>
              <w:t>异常库</w:t>
            </w:r>
            <w:proofErr w:type="gramEnd"/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未采纳标签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89BB6" w14:textId="77777777" w:rsidR="00176223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把专家经验变成可检索、可复盘、可迭代的合成氨知识资产</w:t>
            </w:r>
          </w:p>
        </w:tc>
      </w:tr>
    </w:tbl>
    <w:p w14:paraId="340E7FEB" w14:textId="77777777" w:rsidR="00176223" w:rsidRDefault="00000000">
      <w:pPr>
        <w:pStyle w:val="1"/>
      </w:pPr>
      <w:proofErr w:type="spellStart"/>
      <w:r>
        <w:t>出题意图判断</w:t>
      </w:r>
      <w:proofErr w:type="spellEnd"/>
    </w:p>
    <w:p w14:paraId="2B4E27D9" w14:textId="77777777" w:rsidR="00176223" w:rsidRDefault="00000000">
      <w:pPr>
        <w:pStyle w:val="a0"/>
        <w:rPr>
          <w:lang w:eastAsia="zh-CN"/>
        </w:rPr>
      </w:pPr>
      <w:r>
        <w:rPr>
          <w:lang w:eastAsia="zh-CN"/>
        </w:rPr>
        <w:t>业务洞察：能否理解云图控股合成氨项目与复合肥、尿浆、联</w:t>
      </w:r>
      <w:proofErr w:type="gramStart"/>
      <w:r>
        <w:rPr>
          <w:lang w:eastAsia="zh-CN"/>
        </w:rPr>
        <w:t>碱产业</w:t>
      </w:r>
      <w:proofErr w:type="gramEnd"/>
      <w:r>
        <w:rPr>
          <w:lang w:eastAsia="zh-CN"/>
        </w:rPr>
        <w:t>链的协同关系。</w:t>
      </w:r>
    </w:p>
    <w:p w14:paraId="705B82A0" w14:textId="77777777" w:rsidR="00176223" w:rsidRDefault="00000000">
      <w:pPr>
        <w:pStyle w:val="a0"/>
        <w:rPr>
          <w:lang w:eastAsia="zh-CN"/>
        </w:rPr>
      </w:pPr>
      <w:r>
        <w:rPr>
          <w:lang w:eastAsia="zh-CN"/>
        </w:rPr>
        <w:t>工业现场理解：能否意识到合成氨高温高压、连续流程、安全边界和设备健康的重要性。</w:t>
      </w:r>
    </w:p>
    <w:p w14:paraId="01AF2951" w14:textId="77777777" w:rsidR="00176223" w:rsidRDefault="00000000">
      <w:pPr>
        <w:pStyle w:val="a0"/>
        <w:rPr>
          <w:lang w:eastAsia="zh-CN"/>
        </w:rPr>
      </w:pPr>
      <w:r>
        <w:rPr>
          <w:lang w:eastAsia="zh-CN"/>
        </w:rPr>
        <w:t>智能调度工程理解：能否把预测、优化、数字孪生、知识库和人机确认组合起来，而不是泛泛讲大模型。</w:t>
      </w:r>
      <w:r>
        <w:rPr>
          <w:lang w:eastAsia="zh-CN"/>
        </w:rPr>
      </w:r>
    </w:p>
    <w:p w14:paraId="37D0BF33" w14:textId="77777777" w:rsidR="00176223" w:rsidRDefault="00000000">
      <w:pPr>
        <w:pStyle w:val="a0"/>
        <w:rPr>
          <w:lang w:eastAsia="zh-CN"/>
        </w:rPr>
      </w:pPr>
      <w:r>
        <w:rPr>
          <w:lang w:eastAsia="zh-CN"/>
        </w:rPr>
        <w:t>落地能力：能否提出接口、岗位、验收、降级和收益核算，而不是只有概念架构。</w:t>
      </w:r>
    </w:p>
    <w:p w14:paraId="5E43D8E6" w14:textId="77777777" w:rsidR="00176223" w:rsidRDefault="00000000">
      <w:pPr>
        <w:pStyle w:val="1"/>
        <w:rPr>
          <w:lang w:eastAsia="zh-CN"/>
        </w:rPr>
      </w:pPr>
      <w:r>
        <w:rPr>
          <w:lang w:eastAsia="zh-CN"/>
        </w:rPr>
        <w:t>参考文献与资料来源</w:t>
      </w:r>
    </w:p>
    <w:p w14:paraId="6BE4EA6F" w14:textId="77777777" w:rsidR="00176223" w:rsidRDefault="00000000">
      <w:r>
        <w:rPr>
          <w:lang w:eastAsia="zh-CN"/>
        </w:rPr>
        <w:t xml:space="preserve">[1] IEA. </w:t>
      </w:r>
      <w:r>
        <w:t>Ammonia Technology Roadmap. https://www.iea.org/reports/ammonia-technology-roadmap</w:t>
      </w:r>
    </w:p>
    <w:p w14:paraId="4802A055" w14:textId="77777777" w:rsidR="00176223" w:rsidRDefault="00000000">
      <w:r>
        <w:t>[2] IEA. Ammonia Technology Roadmap: Executive Summary. https://www.iea.org/reports/ammonia-technology-roadmap/executive-summary</w:t>
      </w:r>
    </w:p>
    <w:p w14:paraId="27CDA809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[3] </w:t>
      </w:r>
      <w:r>
        <w:rPr>
          <w:lang w:eastAsia="zh-CN"/>
        </w:rPr>
        <w:t>成都云图控股股份有限公司</w:t>
      </w:r>
      <w:r>
        <w:rPr>
          <w:lang w:eastAsia="zh-CN"/>
        </w:rPr>
        <w:t xml:space="preserve">. 2025 </w:t>
      </w:r>
      <w:r>
        <w:rPr>
          <w:lang w:eastAsia="zh-CN"/>
        </w:rPr>
        <w:t>年年度报告摘要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https://static.cninfo.com.cn/finalpage/2026-04-15/1225100697.PDF</w:t>
      </w:r>
    </w:p>
    <w:p w14:paraId="17B41BDE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[4] </w:t>
      </w:r>
      <w:r>
        <w:rPr>
          <w:lang w:eastAsia="zh-CN"/>
        </w:rPr>
        <w:t>成都云图控股股份有限公司</w:t>
      </w:r>
      <w:r>
        <w:rPr>
          <w:lang w:eastAsia="zh-CN"/>
        </w:rPr>
        <w:t xml:space="preserve">. </w:t>
      </w:r>
      <w:r>
        <w:rPr>
          <w:lang w:eastAsia="zh-CN"/>
        </w:rPr>
        <w:t>投资者关系活动记录表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https://static.cninfo.com.cn/finalpage/2026-04-16/1225109829.PDF</w:t>
      </w:r>
    </w:p>
    <w:p w14:paraId="739DC8C5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[5] </w:t>
      </w:r>
      <w:r>
        <w:rPr>
          <w:lang w:eastAsia="zh-CN"/>
        </w:rPr>
        <w:t>云图控股研究报告</w:t>
      </w:r>
      <w:r>
        <w:rPr>
          <w:lang w:eastAsia="zh-CN"/>
        </w:rPr>
        <w:t xml:space="preserve">. </w:t>
      </w:r>
      <w:r>
        <w:rPr>
          <w:lang w:eastAsia="zh-CN"/>
        </w:rPr>
        <w:t>合成氨、磷矿等新产能落地或助力公司成长</w:t>
      </w:r>
      <w:r>
        <w:rPr>
          <w:lang w:eastAsia="zh-CN"/>
        </w:rPr>
        <w:t>. https://www.wintrueholding.com/static/upload/file/20260417/1776394254161882.pdf</w:t>
      </w:r>
    </w:p>
    <w:p w14:paraId="072C2575" w14:textId="77777777" w:rsidR="00176223" w:rsidRDefault="00000000">
      <w:r>
        <w:t>[6] Kong et al. Nonlinear Model Predictive Control of Flexible Ammonia Production. 2024 preprint. https://qizh.cems.umn.edu/sites/qizh.cems.umn.edu/files/2024-04/Kong_et_al-2024-preprint-NMPC_ammonia_production.pdf</w:t>
      </w:r>
    </w:p>
    <w:p w14:paraId="43A59E98" w14:textId="77777777" w:rsidR="00176223" w:rsidRDefault="00000000">
      <w:r>
        <w:t>[7] ACS Industrial &amp; Engineering Chemistry Research. Dynamic Simulation and Optimization for Load Regulation of the Haber-Bosch Process. https://pubs.acs.org/doi/10.1021/acs.iecr.4c02410</w:t>
      </w:r>
    </w:p>
    <w:p w14:paraId="43C203B0" w14:textId="77777777" w:rsidR="00176223" w:rsidRDefault="00000000">
      <w:r>
        <w:lastRenderedPageBreak/>
        <w:t>[8] AIChE 2025 Annual Meeting. Scheduling and Control of Green Ammonia Plants. https://aiche.confex.com/aiche/2025/meetingapp.cgi/Paper/710466</w:t>
      </w:r>
    </w:p>
    <w:p w14:paraId="051441F2" w14:textId="77777777" w:rsidR="00176223" w:rsidRDefault="00000000">
      <w:pPr>
        <w:rPr>
          <w:lang w:eastAsia="zh-CN"/>
        </w:rPr>
      </w:pPr>
      <w:r>
        <w:rPr>
          <w:lang w:eastAsia="zh-CN"/>
        </w:rPr>
        <w:t>[9] 中国信息通信研究院、华为等. 工业智能融合应用资料. https://www-file.huawei.com/dam/asset/view/dda7ee674ced41d4bb989b365ea0a028.pdf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75328D92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[10] HG/T 6346—2025. </w:t>
      </w:r>
      <w:r>
        <w:rPr>
          <w:lang w:eastAsia="zh-CN"/>
        </w:rPr>
        <w:t>石化和化工行业数字化转型成熟度模型与评估相关资料</w:t>
      </w:r>
      <w:r>
        <w:rPr>
          <w:lang w:eastAsia="zh-CN"/>
        </w:rPr>
        <w:t>. https://gxt.gansu.gov.cn/gxt/c126826/202511/174237249/files/99bb56ef71d347248ae58125b2e12aee.pdf</w:t>
      </w:r>
    </w:p>
    <w:p w14:paraId="2F6DFDC5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[11] </w:t>
      </w:r>
      <w:r>
        <w:rPr>
          <w:lang w:eastAsia="zh-CN"/>
        </w:rPr>
        <w:t>成都云图控股股份有限公司</w:t>
      </w:r>
      <w:r>
        <w:rPr>
          <w:lang w:eastAsia="zh-CN"/>
        </w:rPr>
        <w:t xml:space="preserve">. </w:t>
      </w:r>
      <w:r>
        <w:rPr>
          <w:lang w:eastAsia="zh-CN"/>
        </w:rPr>
        <w:t>关于全资子公司</w:t>
      </w:r>
      <w:r>
        <w:rPr>
          <w:lang w:eastAsia="zh-CN"/>
        </w:rPr>
        <w:t xml:space="preserve"> 70 </w:t>
      </w:r>
      <w:r>
        <w:rPr>
          <w:lang w:eastAsia="zh-CN"/>
        </w:rPr>
        <w:t>万吨合成氨项目建成试生产的公告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https://static.cninfo.com.cn/finalpage/2026-03-21/1225020927.PDF</w:t>
      </w:r>
    </w:p>
    <w:p w14:paraId="29AD3F6A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[12] AQ/T 3017—2008. </w:t>
      </w:r>
      <w:r>
        <w:rPr>
          <w:lang w:eastAsia="zh-CN"/>
        </w:rPr>
        <w:t>合成氨生产企业安全标准化实施指南</w:t>
      </w:r>
      <w:r>
        <w:rPr>
          <w:lang w:eastAsia="zh-CN"/>
        </w:rPr>
        <w:t xml:space="preserve">. </w:t>
      </w:r>
      <w:r>
        <w:rPr>
          <w:lang w:eastAsia="zh-CN"/>
        </w:rPr>
        <w:t>应急管理部</w:t>
      </w:r>
      <w:r>
        <w:rPr>
          <w:lang w:eastAsia="zh-CN"/>
        </w:rPr>
        <w:t>. https://www.mem.gov.cn/fw/flfgbz/bz/bzwb/201301/P020190327398204066876.pdf</w:t>
      </w:r>
    </w:p>
    <w:p w14:paraId="76669EF8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[13] </w:t>
      </w:r>
      <w:r>
        <w:rPr>
          <w:lang w:eastAsia="zh-CN"/>
        </w:rPr>
        <w:t>合成氨行业规范条件</w:t>
      </w:r>
      <w:r>
        <w:rPr>
          <w:lang w:eastAsia="zh-CN"/>
        </w:rPr>
        <w:t xml:space="preserve">. </w:t>
      </w:r>
      <w:r>
        <w:rPr>
          <w:lang w:eastAsia="zh-CN"/>
        </w:rPr>
        <w:t>工业和信息化部相关资料</w:t>
      </w:r>
      <w:r>
        <w:rPr>
          <w:lang w:eastAsia="zh-CN"/>
        </w:rPr>
        <w:t>. https://file.smejs.cn/group1/M00/05/1F/rBIAAWUvo0OAbXwqAAUaBh6SZ0U730.pdf</w:t>
      </w:r>
    </w:p>
    <w:p w14:paraId="59ED8BA6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[14] </w:t>
      </w:r>
      <w:r>
        <w:rPr>
          <w:lang w:eastAsia="zh-CN"/>
        </w:rPr>
        <w:t>国家发展改革委</w:t>
      </w:r>
      <w:r>
        <w:rPr>
          <w:lang w:eastAsia="zh-CN"/>
        </w:rPr>
        <w:t xml:space="preserve">. </w:t>
      </w:r>
      <w:r>
        <w:rPr>
          <w:lang w:eastAsia="zh-CN"/>
        </w:rPr>
        <w:t>合成氨行业节能</w:t>
      </w:r>
      <w:proofErr w:type="gramStart"/>
      <w:r>
        <w:rPr>
          <w:lang w:eastAsia="zh-CN"/>
        </w:rPr>
        <w:t>降碳改造</w:t>
      </w:r>
      <w:proofErr w:type="gramEnd"/>
      <w:r>
        <w:rPr>
          <w:lang w:eastAsia="zh-CN"/>
        </w:rPr>
        <w:t>升级实施指南解读</w:t>
      </w:r>
      <w:r>
        <w:rPr>
          <w:lang w:eastAsia="zh-CN"/>
        </w:rPr>
        <w:t>. https://www.ndrc.gov.cn/xwdt/ztzl/ghnhyjnjdgzsj/zjgd/202208/t20220829_1334056.html</w:t>
      </w:r>
    </w:p>
    <w:p w14:paraId="09134D61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[15] </w:t>
      </w:r>
      <w:r>
        <w:rPr>
          <w:lang w:eastAsia="zh-CN"/>
        </w:rPr>
        <w:t>应急管理部办公厅</w:t>
      </w:r>
      <w:r>
        <w:rPr>
          <w:lang w:eastAsia="zh-CN"/>
        </w:rPr>
        <w:t>. “</w:t>
      </w:r>
      <w:r>
        <w:rPr>
          <w:lang w:eastAsia="zh-CN"/>
        </w:rPr>
        <w:t>工业互联网</w:t>
      </w:r>
      <w:r>
        <w:rPr>
          <w:lang w:eastAsia="zh-CN"/>
        </w:rPr>
        <w:t>+</w:t>
      </w:r>
      <w:r>
        <w:rPr>
          <w:lang w:eastAsia="zh-CN"/>
        </w:rPr>
        <w:t>危化安全生产</w:t>
      </w:r>
      <w:r>
        <w:rPr>
          <w:lang w:eastAsia="zh-CN"/>
        </w:rPr>
        <w:t>”</w:t>
      </w:r>
      <w:r>
        <w:rPr>
          <w:lang w:eastAsia="zh-CN"/>
        </w:rPr>
        <w:t>试点建设方案</w:t>
      </w:r>
      <w:r>
        <w:rPr>
          <w:lang w:eastAsia="zh-CN"/>
        </w:rPr>
        <w:t>. https://www.mem.gov.cn/gk/zfxxgkpt/fdzdgknr/202104/t20210407_382882.shtml</w:t>
      </w:r>
    </w:p>
    <w:p w14:paraId="448C2F32" w14:textId="77777777" w:rsidR="00176223" w:rsidRDefault="00000000">
      <w:pPr>
        <w:rPr>
          <w:lang w:eastAsia="zh-CN"/>
        </w:rPr>
      </w:pPr>
      <w:r>
        <w:rPr>
          <w:lang w:eastAsia="zh-CN"/>
        </w:rPr>
        <w:t xml:space="preserve">[16] GB 17681—2024. </w:t>
      </w:r>
      <w:r>
        <w:rPr>
          <w:lang w:eastAsia="zh-CN"/>
        </w:rPr>
        <w:t>危险化学品重大危险源安全监控技术规范相关资料</w:t>
      </w:r>
      <w:r>
        <w:rPr>
          <w:lang w:eastAsia="zh-CN"/>
        </w:rPr>
        <w:t>. https://sjj.ganzhou.gov.cn/c101840/202506/e42a2cfd5c894799b899a30fcb927f06/files/b133fc57bfa64bd3a7beeee6ce6ca38e.pdf</w:t>
      </w:r>
    </w:p>
    <w:sectPr w:rsidR="00176223" w:rsidSect="00034616">
      <w:headerReference w:type="default" r:id="rId8"/>
      <w:footerReference w:type="default" r:id="rId9"/>
      <w:footerReference w:type="first" r:id="rId12"/>
      <w:footerReference w:type="even" r:id="rId13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56E96" w14:textId="77777777" w:rsidR="00A755EE" w:rsidRDefault="00A755EE">
      <w:pPr>
        <w:spacing w:after="0" w:line="240" w:lineRule="auto"/>
      </w:pPr>
      <w:r>
        <w:separator/>
      </w:r>
    </w:p>
  </w:endnote>
  <w:endnote w:type="continuationSeparator" w:id="0">
    <w:p w14:paraId="57FB2D30" w14:textId="77777777" w:rsidR="00A755EE" w:rsidRDefault="00A755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C8344" w14:textId="6A041BBF" w:rsidR="00176223" w:rsidRDefault="00176223">
    <w:pPr>
      <w:pStyle w:val="a7"/>
      <w:jc w:val="center"/>
      <w:rPr>
        <w:lang w:eastAsia="zh-CN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1CB68" w14:textId="77777777" w:rsidR="00A755EE" w:rsidRDefault="00A755EE">
      <w:pPr>
        <w:spacing w:after="0" w:line="240" w:lineRule="auto"/>
      </w:pPr>
      <w:r>
        <w:separator/>
      </w:r>
    </w:p>
  </w:footnote>
  <w:footnote w:type="continuationSeparator" w:id="0">
    <w:p w14:paraId="56DD7B9E" w14:textId="77777777" w:rsidR="00A755EE" w:rsidRDefault="00A755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9FBA" w14:textId="77777777" w:rsidR="00176223" w:rsidRDefault="00000000">
    <w:pPr>
      <w:pStyle w:val="a5"/>
      <w:jc w:val="right"/>
      <w:rPr>
        <w:lang w:eastAsia="zh-CN"/>
      </w:rPr>
    </w:pPr>
    <w: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0087268">
    <w:abstractNumId w:val="8"/>
  </w:num>
  <w:num w:numId="2" w16cid:durableId="1575319174">
    <w:abstractNumId w:val="6"/>
  </w:num>
  <w:num w:numId="3" w16cid:durableId="1594743">
    <w:abstractNumId w:val="5"/>
  </w:num>
  <w:num w:numId="4" w16cid:durableId="1683243224">
    <w:abstractNumId w:val="4"/>
  </w:num>
  <w:num w:numId="5" w16cid:durableId="1963029716">
    <w:abstractNumId w:val="7"/>
  </w:num>
  <w:num w:numId="6" w16cid:durableId="2055347091">
    <w:abstractNumId w:val="3"/>
  </w:num>
  <w:num w:numId="7" w16cid:durableId="1367875808">
    <w:abstractNumId w:val="2"/>
  </w:num>
  <w:num w:numId="8" w16cid:durableId="461925168">
    <w:abstractNumId w:val="1"/>
  </w:num>
  <w:num w:numId="9" w16cid:durableId="39455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223"/>
    <w:rsid w:val="0029639D"/>
    <w:rsid w:val="00326F90"/>
    <w:rsid w:val="006077B5"/>
    <w:rsid w:val="009F0FE1"/>
    <w:rsid w:val="00A755EE"/>
    <w:rsid w:val="00AA1D8D"/>
    <w:rsid w:val="00B47730"/>
    <w:rsid w:val="00CB0664"/>
    <w:rsid w:val="00D60B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2F7A61"/>
  <w14:defaultImageDpi w14:val="300"/>
  <w15:docId w15:val="{56814C0E-9601-4329-B200-A13ED66FB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3</cp:revision>
  <dcterms:created xsi:type="dcterms:W3CDTF">2013-12-23T23:15:00Z</dcterms:created>
  <dcterms:modified xsi:type="dcterms:W3CDTF">2026-07-19T08:25:00Z</dcterms:modified>
  <cp:category/>
</cp:coreProperties>
</file>