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氨智领航调控师：面向云图合成氨装置的软件层成本优化平台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智能调度副驾驶。它把实时工况、订单、库存、设备健康、能源窗口和专家规则组织成班次级决策，帮助调度员在安全边界内找到吨氨综合成本更优的执行方案。</w:t>
      </w:r>
    </w:p>
    <w:p>
      <w:pPr>
        <w:pStyle w:val="Heading1"/>
      </w:pPr>
      <w:r>
        <w:t>2.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MES、ERP、DCS historian、罐区、EAM点检、飞书记录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优化调度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RTO经济目标、APC/MPC连续负荷建议、启发式现场规则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合成负荷指令库、异常经验库、未采纳原因库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3. 飞书功能模块在方案中的位置</w:t>
      </w:r>
    </w:p>
    <w:p>
      <w:r>
        <w:rPr>
          <w:rFonts w:ascii="Calibri" w:hAnsi="Calibri" w:eastAsia="Microsoft YaHei"/>
        </w:rPr>
        <w:t>飞书不是附加展示入口，而是本方案把算法建议变成现场执行、责任留痕和知识迭代的组织操作层。合成氨调度建议只有进入当班群、审批链、任务监督和复盘库，才真正回应命题提出的指挥效率与知识传承问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飞书功能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解决的命题问题</w:t>
            </w:r>
          </w:p>
        </w:tc>
        <w:tc>
          <w:tcPr>
            <w:tcW w:type="dxa" w:w="367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合成氨场景中的动作</w:t>
            </w:r>
          </w:p>
        </w:tc>
        <w:tc>
          <w:tcPr>
            <w:tcW w:type="dxa" w:w="230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沉淀数据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把目标负荷、风险指数、触发约束、收益口径和确认按钮推送到当班调度群。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card_action、operator_confirm、reject_reason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安全边界与责任链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高风险升降负荷、护机降负荷、液氨库存越界处置进入班长/主管/安环确认。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approval_instance、approval_status、rollback_condition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记录采纳/驳回、实际负荷、单位氨能耗、库存变化、未采纳原因和班后复盘。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shift_fact、execution_delta、lesson_learned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执行监督弱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采纳后自动生成跟踪任务，提醒核对DCS historian实际负荷、复盘收益归因和补充异常说明。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owner、due_time、checklist_status、close_note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Aily问答/事件回调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调度寻优解释与自迭代</w:t>
            </w:r>
          </w:p>
        </w:tc>
        <w:tc>
          <w:tcPr>
            <w:tcW w:type="dxa" w:w="36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调度员追问方案理由；卡片点击、审批结果和复盘提交通过回调写入知识库。</w:t>
            </w:r>
          </w:p>
        </w:tc>
        <w:tc>
          <w:tcPr>
            <w:tcW w:type="dxa" w:w="230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query_log、callback_event、idempotency_key</w:t>
            </w:r>
          </w:p>
        </w:tc>
      </w:tr>
    </w:tbl>
    <w:p>
      <w:pPr>
        <w:pStyle w:val="Heading1"/>
      </w:pPr>
      <w:r>
        <w:t>4.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RTO侧：平台把天然气/煤气化、蒸汽、电力、液氨库存占用、订单延期和外售机会成本转化为经济目标，供实时优化或离线回放使用。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5.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6. 跨装置联动的调度优先级</w:t>
      </w:r>
    </w:p>
    <w:p>
      <w:r>
        <w:rPr>
          <w:rFonts w:ascii="Calibri" w:hAnsi="Calibri" w:eastAsia="Microsoft YaHei"/>
        </w:rPr>
        <w:t>企业导师补充的关键现场经验是：合成氨调度不能只看当班利润，必须先保安全，再保流程连续，只有在流程确实需要中断时才进入特殊取舍。DCS可以完成液位、阀门、局部顺控和联锁保护，但难以自动判断下游异常、气区设备、能源窗口和产品结构变化后的跨大单元联动，因此本方案把这部分做成AI调控师的规则层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2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优先级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判断口径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调控师动作</w:t>
            </w:r>
          </w:p>
        </w:tc>
        <w:tc>
          <w:tcPr>
            <w:tcW w:type="dxa" w:w="18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留痕与边界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1. 安全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安环红线、SIS/DCS联锁、罐区压力、压缩机/合成塔风险接近阈值。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冻结增产和高收益方案，只保留降风险、稳流程、人工确认动作。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不绕过DCS/SIS；触发原因进入审批和班后复盘。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2. 流程不中断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气化、净化、合成、空分、气轮机驱动系统和液氨去向的连续性。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优先做跨装置负荷联动，减少停车后重启时间、废料、人员和物料损失。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输出重启成本、废料成本、影响范围和回滚条件。</w:t>
            </w:r>
          </w:p>
        </w:tc>
      </w:tr>
      <w:tr>
        <w:tc>
          <w:tcPr>
            <w:tcW w:type="dxa" w:w="12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3. 特殊取舍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流程确需中断时，比较停空分、停合成气轮机或停下游装置的代价。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按安全、重启复杂度、废料损失、对主流程影响排序；已验证同类场景优先保气轮机驱动关键系统，停空分方案需班长/主管确认。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作为专家规则，不做前端自动执行；每次结果回写知识库。</w:t>
            </w:r>
          </w:p>
        </w:tc>
      </w:tr>
    </w:tbl>
    <w:p>
      <w:pPr>
        <w:pStyle w:val="Heading1"/>
      </w:pPr>
      <w:r>
        <w:t>7.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8.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