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YaHei"/>
          <w:b/>
          <w:color w:val="0D1F30"/>
          <w:sz w:val="42"/>
        </w:rPr>
        <w:t>飞书功能模块说明</w:t>
      </w:r>
    </w:p>
    <w:p>
      <w:pPr>
        <w:spacing w:after="300"/>
        <w:jc w:val="center"/>
      </w:pPr>
      <w:r>
        <w:rPr>
          <w:rFonts w:ascii="Calibri" w:hAnsi="Calibri" w:eastAsia="Microsoft YaHei"/>
          <w:color w:val="5A6976"/>
          <w:sz w:val="21"/>
        </w:rPr>
        <w:t>面向合成氨调度专家平台的协同执行与知识沉淀链路</w:t>
      </w:r>
    </w:p>
    <w:p>
      <w:pPr>
        <w:pStyle w:val="Heading1"/>
      </w:pPr>
      <w:r>
        <w:t>1. 模块定位</w:t>
      </w:r>
    </w:p>
    <w:p>
      <w:r>
        <w:rPr>
          <w:rFonts w:ascii="Calibri" w:hAnsi="Calibri" w:eastAsia="Microsoft YaHei"/>
        </w:rPr>
        <w:t>飞书在本方案中承担“组织操作层”：算法负责算清目标负荷、风险边界和收益口径，飞书负责把建议送到当班人员、推动审批、监督执行、沉淀复盘，并把真实采纳效果反馈给知识库。这个模块不是普通通知工具，而是让合成氨调度建议从“可计算”变成“可执行、可追责、可传承”的关键链路。</w:t>
      </w:r>
    </w:p>
    <w:p>
      <w:pPr>
        <w:pStyle w:val="Heading1"/>
      </w:pPr>
      <w:r>
        <w:t>2. 对三大命题痛点的回应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c>
          <w:tcPr>
            <w:tcW w:type="dxa" w:w="1656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痛点</w:t>
            </w:r>
          </w:p>
        </w:tc>
        <w:tc>
          <w:tcPr>
            <w:tcW w:type="dxa" w:w="396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飞书承接动作</w:t>
            </w:r>
          </w:p>
        </w:tc>
        <w:tc>
          <w:tcPr>
            <w:tcW w:type="dxa" w:w="360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解题价值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调度寻优难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Aily问答解释优化理由；Base汇总历史采纳效果、未采纳原因和收益归因；事件回调把执行结果反哺模型。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让优化不止停留在一次性推荐，而是能结合历史案例和当班事实持续修正。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指挥效率低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互动卡片送达当班群，审批承接高风险负荷调整，任务清单跟踪执行与复盘。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压缩调度员、班长、主管、设备和安环之间的沟通链条，并留下完整责任记录。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知识传承难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多维表格沉淀班次事实、班长备注、驳回原因、执行偏差和异常处置；Aily基于授权知识源检索回答。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把专家经验和班组判断沉淀为可审计、可检索、可训练的长期资产。</w:t>
            </w:r>
          </w:p>
        </w:tc>
      </w:tr>
    </w:tbl>
    <w:p>
      <w:pPr>
        <w:pStyle w:val="Heading1"/>
      </w:pPr>
      <w:r>
        <w:t>3. 功能模块总览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1"/>
        <w:gridCol w:w="2441"/>
        <w:gridCol w:w="2441"/>
        <w:gridCol w:w="2441"/>
      </w:tblGrid>
      <w:tr>
        <w:tc>
          <w:tcPr>
            <w:tcW w:type="dxa" w:w="144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飞书能力</w:t>
            </w:r>
          </w:p>
        </w:tc>
        <w:tc>
          <w:tcPr>
            <w:tcW w:type="dxa" w:w="2088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合成氨业务对象</w:t>
            </w:r>
          </w:p>
        </w:tc>
        <w:tc>
          <w:tcPr>
            <w:tcW w:type="dxa" w:w="396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首批字段/动作</w:t>
            </w:r>
          </w:p>
        </w:tc>
        <w:tc>
          <w:tcPr>
            <w:tcW w:type="dxa" w:w="1728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边界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互动卡片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稳氨/保供/护机/错峰方案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目标负荷、风险指数、触发约束、回滚条件、采纳/复核/驳回按钮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只触发流程，不直接控制装置。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审批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高风险升降负荷、设备护机、液氨库存越界处置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审批人、装置、目标负荷、业务理由、风险说明、回滚条件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审批通过后仅写MES计划摘要和复盘记录。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多维表格Base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班次事实与调度复盘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订单、库存、设备健康、能耗窗口、采纳状态、执行偏差、未采纳原因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作为知识事实层，保留字段来源和版本。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飞书任务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执行监督与决赛交付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负责人、截止时间、检查项、关闭说明、复核状态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提醒和监督，不替代现场签字确认。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Aily问答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调度员追问与新人学习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为什么升/降负荷、库存能撑多久、同类异常如何处置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只回答授权知识源，不绕过审批和安全规则。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事件回调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卡片点击、审批状态、任务关闭、复盘提交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事件类型、幂等键、时间戳、操作者、处理结果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必须做签名校验、重放保护和异常降级。</w:t>
            </w:r>
          </w:p>
        </w:tc>
      </w:tr>
    </w:tbl>
    <w:p>
      <w:pPr>
        <w:pStyle w:val="Heading1"/>
      </w:pPr>
      <w:r>
        <w:t>4. 当班闭环流程</w:t>
      </w:r>
    </w:p>
    <w:p>
      <w:pPr>
        <w:pStyle w:val="ListNumber"/>
      </w:pPr>
      <w:r>
        <w:rPr>
          <w:rFonts w:ascii="Calibri" w:hAnsi="Calibri" w:eastAsia="Microsoft YaHei"/>
        </w:rPr>
        <w:t>生成建议：调控师读取班次事实表，输出稳氨、保供、护机三案及风险解释。</w:t>
      </w:r>
    </w:p>
    <w:p>
      <w:pPr>
        <w:pStyle w:val="ListNumber"/>
      </w:pPr>
      <w:r>
        <w:rPr>
          <w:rFonts w:ascii="Calibri" w:hAnsi="Calibri" w:eastAsia="Microsoft YaHei"/>
        </w:rPr>
        <w:t>卡片送达：将目标负荷、约束触发、收益口径和回滚条件发送到合成氨当班调度群。</w:t>
      </w:r>
    </w:p>
    <w:p>
      <w:pPr>
        <w:pStyle w:val="ListNumber"/>
      </w:pPr>
      <w:r>
        <w:rPr>
          <w:rFonts w:ascii="Calibri" w:hAnsi="Calibri" w:eastAsia="Microsoft YaHei"/>
        </w:rPr>
        <w:t>审批确认：低风险方案由班长确认，高风险方案进入主管/安环审批。</w:t>
      </w:r>
    </w:p>
    <w:p>
      <w:pPr>
        <w:pStyle w:val="ListNumber"/>
      </w:pPr>
      <w:r>
        <w:rPr>
          <w:rFonts w:ascii="Calibri" w:hAnsi="Calibri" w:eastAsia="Microsoft YaHei"/>
        </w:rPr>
        <w:t>执行监督：采纳后创建飞书任务，跟踪实际负荷曲线、库存变化、能耗窗口和异常处置。</w:t>
      </w:r>
    </w:p>
    <w:p>
      <w:pPr>
        <w:pStyle w:val="ListNumber"/>
      </w:pPr>
      <w:r>
        <w:rPr>
          <w:rFonts w:ascii="Calibri" w:hAnsi="Calibri" w:eastAsia="Microsoft YaHei"/>
        </w:rPr>
        <w:t>班后复盘：把采纳结果、未采纳原因、执行偏差和班长经验写入Base复盘库。</w:t>
      </w:r>
    </w:p>
    <w:p>
      <w:pPr>
        <w:pStyle w:val="ListNumber"/>
      </w:pPr>
      <w:r>
        <w:rPr>
          <w:rFonts w:ascii="Calibri" w:hAnsi="Calibri" w:eastAsia="Microsoft YaHei"/>
        </w:rPr>
        <w:t>知识迭代：Aily和模型校准流程读取复盘样本，周度输出规则修订和停用条件检查。</w:t>
      </w:r>
    </w:p>
    <w:p>
      <w:pPr>
        <w:pStyle w:val="Heading2"/>
      </w:pPr>
      <w:r>
        <w:t>4（一）特殊停机取舍的飞书闭环</w:t>
      </w:r>
    </w:p>
    <w:p>
      <w:r>
        <w:rPr>
          <w:rFonts w:ascii="Calibri" w:hAnsi="Calibri" w:eastAsia="Microsoft YaHei"/>
        </w:rPr>
        <w:t>当流程确实无法维持连续时，调控师不直接下达停机指令，而是生成取舍卡片：列出停空分、停合成气轮机、停下游装置等备选方案的安全影响、重启时间、废料损失、人员物料成本和对主流程的影响。卡片进入班长/主管审批，执行结果和实际损失写入Base复盘库，作为下一次同类场景的专家规则样本。</w:t>
      </w:r>
    </w:p>
    <w:p>
      <w:pPr>
        <w:pStyle w:val="Heading1"/>
      </w:pPr>
      <w:r>
        <w:t>5. 数据表与接口契约</w:t>
      </w:r>
    </w:p>
    <w:p>
      <w:pPr>
        <w:pStyle w:val="ListBullet"/>
      </w:pPr>
      <w:r>
        <w:rPr>
          <w:rFonts w:ascii="Calibri" w:hAnsi="Calibri" w:eastAsia="Microsoft YaHei"/>
        </w:rPr>
        <w:t>字段样例：data/feishu_dispatch_review_template.csv 保存班次、场景、目标负荷、风险指数、预期收益、采纳状态、复盘备注等字段。</w:t>
      </w:r>
    </w:p>
    <w:p>
      <w:pPr>
        <w:pStyle w:val="ListBullet"/>
      </w:pPr>
      <w:r>
        <w:rPr>
          <w:rFonts w:ascii="Calibri" w:hAnsi="Calibri" w:eastAsia="Microsoft YaHei"/>
        </w:rPr>
        <w:t>接口契约：data/feishu_integration_contract.json 保存卡片、审批、Base、Aily和事件回调的字段与幂等键设计。</w:t>
      </w:r>
    </w:p>
    <w:p>
      <w:pPr>
        <w:pStyle w:val="ListBullet"/>
      </w:pPr>
      <w:r>
        <w:rPr>
          <w:rFonts w:ascii="Calibri" w:hAnsi="Calibri" w:eastAsia="Microsoft YaHei"/>
        </w:rPr>
        <w:t>知识闭环：每条建议都必须保留 proposal_id、shift_id、scenario、confidence、approval_status、execution_delta 和 lesson_learned，便于后续回放和审计。</w:t>
      </w:r>
    </w:p>
    <w:p>
      <w:pPr>
        <w:pStyle w:val="Heading1"/>
      </w:pPr>
      <w:r>
        <w:t>6. 已完成原型与授权说明</w:t>
      </w:r>
    </w:p>
    <w:p>
      <w:pPr>
        <w:pStyle w:val="ListBullet"/>
      </w:pPr>
      <w:r>
        <w:rPr>
          <w:rFonts w:ascii="Calibri" w:hAnsi="Calibri" w:eastAsia="Microsoft YaHei"/>
        </w:rPr>
        <w:t>飞书在线完整方案稿：https://www.feishu.cn/docx/AYyad50itooOPxxZpQacgSqIn2c</w:t>
      </w:r>
    </w:p>
    <w:p>
      <w:pPr>
        <w:pStyle w:val="ListBullet"/>
      </w:pPr>
      <w:r>
        <w:rPr>
          <w:rFonts w:ascii="Calibri" w:hAnsi="Calibri" w:eastAsia="Microsoft YaHei"/>
        </w:rPr>
        <w:t>飞书Base调度复盘库原型：https://www.feishu.cn/base/QzENbAkl1aYQGds8dBacqu6Inue</w:t>
      </w:r>
    </w:p>
    <w:p>
      <w:pPr>
        <w:pStyle w:val="ListBullet"/>
      </w:pPr>
      <w:r>
        <w:rPr>
          <w:rFonts w:ascii="Calibri" w:hAnsi="Calibri" w:eastAsia="Microsoft YaHei"/>
        </w:rPr>
        <w:t>飞书任务清单：https://applink.feishu.cn/client/todo/task_list?guid=2ab6c357-dfeb-4f75-9aa3-781dc7ac7244</w:t>
      </w:r>
    </w:p>
    <w:p>
      <w:pPr>
        <w:pStyle w:val="ListBullet"/>
      </w:pPr>
      <w:r>
        <w:rPr>
          <w:rFonts w:ascii="Calibri" w:hAnsi="Calibri" w:eastAsia="Microsoft YaHei"/>
        </w:rPr>
        <w:t>企业真实部署时需要企业自建应用 App ID / App Secret、目标群机器人权限、审批定义 approval_code、多维表格读写权限、Aily知识源授权和事件订阅回调配置。密钥不写入前端仓库。</w:t>
      </w:r>
    </w:p>
    <w:p>
      <w:pPr>
        <w:pStyle w:val="Heading1"/>
      </w:pPr>
      <w:r>
        <w:t>7. 安全边界</w:t>
      </w:r>
    </w:p>
    <w:p>
      <w:pPr>
        <w:pStyle w:val="ListBullet"/>
      </w:pPr>
      <w:r>
        <w:rPr>
          <w:rFonts w:ascii="Calibri" w:hAnsi="Calibri" w:eastAsia="Microsoft YaHei"/>
        </w:rPr>
        <w:t>DCS/SIS只读或摘要读取，飞书按钮不直接写控制参数，不自动开停车。</w:t>
      </w:r>
    </w:p>
    <w:p>
      <w:pPr>
        <w:pStyle w:val="ListBullet"/>
      </w:pPr>
      <w:r>
        <w:rPr>
          <w:rFonts w:ascii="Calibri" w:hAnsi="Calibri" w:eastAsia="Microsoft YaHei"/>
        </w:rPr>
        <w:t>低置信、关键数据延迟、模型漂移、安环红线接近时自动降级人工流程。</w:t>
      </w:r>
    </w:p>
    <w:p>
      <w:pPr>
        <w:pStyle w:val="ListBullet"/>
      </w:pPr>
      <w:r>
        <w:rPr>
          <w:rFonts w:ascii="Calibri" w:hAnsi="Calibri" w:eastAsia="Microsoft YaHei"/>
        </w:rPr>
        <w:t>所有回调事件使用签名校验、重放保护和幂等入库，避免重复写入或伪造操作。</w:t>
      </w:r>
    </w:p>
    <w:p>
      <w:pPr>
        <w:pStyle w:val="ListBullet"/>
      </w:pPr>
      <w:r>
        <w:rPr>
          <w:rFonts w:ascii="Calibri" w:hAnsi="Calibri" w:eastAsia="Microsoft YaHei"/>
        </w:rPr>
        <w:t>收益核算只统计被采纳且实际执行的方案，并剔除市场、检修、物流等外部因素。</w:t>
      </w:r>
    </w:p>
    <w:p>
      <w:pPr>
        <w:pStyle w:val="Heading1"/>
      </w:pPr>
      <w:r>
        <w:t>参考文献与资料来源</w:t>
      </w:r>
    </w:p>
    <w:p>
      <w:r>
        <w:rPr>
          <w:rFonts w:ascii="Calibri" w:hAnsi="Calibri" w:eastAsia="Microsoft YaHei"/>
        </w:rPr>
        <w:t>[1] IEA. Ammonia Technology Roadmap. International Energy Agency. https://www.iea.org/reports/ammonia-technology-roadmap</w:t>
      </w:r>
    </w:p>
    <w:p>
      <w:r>
        <w:rPr>
          <w:rFonts w:ascii="Calibri" w:hAnsi="Calibri" w:eastAsia="Microsoft YaHei"/>
        </w:rPr>
        <w:t>[2] 成都云图控股股份有限公司. 2025年年度报告摘要. 巨潮资讯. https://static.cninfo.com.cn/finalpage/2026-04-15/1225100697.PDF</w:t>
      </w:r>
    </w:p>
    <w:p>
      <w:r>
        <w:rPr>
          <w:rFonts w:ascii="Calibri" w:hAnsi="Calibri" w:eastAsia="Microsoft YaHei"/>
        </w:rPr>
        <w:t>[3] 成都云图控股股份有限公司. 关于全资子公司70万吨合成氨项目建成试生产的公告. 巨潮资讯. https://static.cninfo.com.cn/finalpage/2026-03-21/1225020927.PDF</w:t>
      </w:r>
    </w:p>
    <w:p>
      <w:r>
        <w:rPr>
          <w:rFonts w:ascii="Calibri" w:hAnsi="Calibri" w:eastAsia="Microsoft YaHei"/>
        </w:rPr>
        <w:t>[4] 成都云图控股股份有限公司. 投资者关系活动记录表. 巨潮资讯. https://static.cninfo.com.cn/finalpage/2026-04-16/1225109829.PDF</w:t>
      </w:r>
    </w:p>
    <w:p>
      <w:r>
        <w:rPr>
          <w:rFonts w:ascii="Calibri" w:hAnsi="Calibri" w:eastAsia="Microsoft YaHei"/>
        </w:rPr>
        <w:t>[5] Kong et al. Nonlinear Model Predictive Control of Flexible Ammonia Production. 2024 preprint. https://qizh.cems.umn.edu/sites/qizh.cems.umn.edu/files/2024-04/Kong_et_al-2024-preprint-NMPC_ammonia_production.pdf</w:t>
      </w:r>
    </w:p>
    <w:p>
      <w:r>
        <w:rPr>
          <w:rFonts w:ascii="Calibri" w:hAnsi="Calibri" w:eastAsia="Microsoft YaHei"/>
        </w:rPr>
        <w:t>[6] Dynamic Simulation and Optimization for Load Regulation of the Haber-Bosch Process. Industrial &amp; Engineering Chemistry Research. https://pubs.acs.org/doi/10.1021/acs.iecr.4c02410</w:t>
      </w:r>
    </w:p>
    <w:p>
      <w:r>
        <w:rPr>
          <w:rFonts w:ascii="Calibri" w:hAnsi="Calibri" w:eastAsia="Microsoft YaHei"/>
        </w:rPr>
        <w:t>[7] AQ/T 3017-2008. 合成氨生产企业安全标准化实施指南. 应急管理部. https://www.mem.gov.cn/fw/flfgbz/bz/bzwb/201301/P020190327398204066876.pdf</w:t>
      </w:r>
    </w:p>
    <w:p>
      <w:r>
        <w:rPr>
          <w:rFonts w:ascii="Calibri" w:hAnsi="Calibri" w:eastAsia="Microsoft YaHei"/>
        </w:rPr>
        <w:t>[8] 国家发展改革委. 合成氨行业节能降碳改造升级实施指南解读. https://www.ndrc.gov.cn/xwdt/ztzl/ghnhyjnjdgzsj/zjgd/202208/t20220829_1334056.html</w:t>
      </w:r>
    </w:p>
    <w:p>
      <w:r>
        <w:rPr>
          <w:rFonts w:ascii="Calibri" w:hAnsi="Calibri" w:eastAsia="Microsoft YaHei"/>
        </w:rPr>
        <w:t>[9] 应急管理部办公厅. 工业互联网+危化安全生产试点建设方案. https://www.mem.gov.cn/gk/zfxxgkpt/fdzdgknr/202104/t20210407_382882.shtml</w:t>
      </w:r>
    </w:p>
    <w:p>
      <w:r>
        <w:rPr>
          <w:rFonts w:ascii="Calibri" w:hAnsi="Calibri" w:eastAsia="Microsoft YaHei"/>
        </w:rPr>
        <w:t>[10] 飞书开放平台. 消息、审批、多维表格与事件订阅相关OpenAPI文档. https://open.feishu.cn/document/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38" w:bottom="1123" w:left="1238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5A6976"/>
        <w:sz w:val="17"/>
      </w:rPr>
      <w:t>氨智领航调控师 | 合成氨生产调度专家平台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84E7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84E7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84E7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