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53</w:t>
      </w:r>
    </w:p>
    <w:p>
      <w:r>
        <w:t>大闹天宫</w:t>
      </w:r>
    </w:p>
    <w:p>
      <w:r>
        <w:t>豆瓣链接:https://movie.douban.com/subject/1418019/</w:t>
      </w:r>
    </w:p>
    <w:p>
      <w:r>
        <w:t>豆瓣评分:无</w:t>
      </w:r>
    </w:p>
    <w:p>
      <w:r>
        <w:t>评分人数:无</w:t>
      </w:r>
    </w:p>
    <w:p>
      <w:r>
        <w:t>影片信息：导演 : 万籁鸣 编剧 : 李克弱 / 万籁鸣 主演 : 邱岳峰 / 富润生 / 毕克 / 尚华 / 于鼎 / 李梓 / 刘广宁 类型: 剧情 / 动画 / 奇幻 / 古装 制片国家/地区: 中国大陆 语言: 汉语普通话 上映日期: 1961(中国大陆) / 1964(中国大陆) / 1978(中国大陆) 片长: 113分钟 / 44分钟(上集) / 69分钟(下集) / 84分钟(40周年纪念版) 又名: 大闹天宫 上下集 / The Monkey King / Havoc in Heaven / Uproar in Heaven IMDb: tt0059855</w:t>
      </w:r>
    </w:p>
    <w:p>
      <w:r>
        <w:t>大闹天宫 影片简介:</w:t>
        <w:br/>
        <w:t>话说在东土傲来国有一座花果山，山上有一尊石猴吸收日精月华化身为一只神猴（邱岳峰 音），统领着山中的猴子猴孙。为求得一件称心的宝贝，神猴孙大圣潜入龙宫，强硬求来大禹治水时的定海神针如意金箍棒。东海龙王（毕克 音）心有不甘，于是上天将此事诉诸玉帝（富润生 音）。玉皇大帝命令太白金星（尚华 音）下界招安，许以爵位。不知有诈的孙大圣欣然前往，却发现只是负责养马的弼马温。得知受骗的猴王反下天庭，与天兵天将在花果山展开大战……                                                                    　　本片根据古典名著《西游记》中的故事改编，前后历时4年创作，并荣获1962年捷克斯洛伐克卡罗维发利国际电影节短片特别奖、1978年英国伦敦国际电影节年度杰出电影奖、1982年厄瓜多尔第四届国际儿童电影节三等奖、第二届中国电影“百花奖”最佳美术片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