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11B14" w14:textId="77777777" w:rsidR="00CE530A" w:rsidRDefault="00000000" w:rsidP="00FD1888">
      <w:pPr>
        <w:pStyle w:val="1"/>
        <w:ind w:firstLine="653"/>
        <w:rPr>
          <w:lang w:eastAsia="zh-CN"/>
        </w:rPr>
      </w:pPr>
      <w:r>
        <w:rPr>
          <w:lang w:eastAsia="zh-CN"/>
        </w:rPr>
        <w:t>宇</w:t>
      </w:r>
      <w:r>
        <w:rPr>
          <w:rFonts w:ascii="微软雅黑" w:eastAsia="微软雅黑" w:hAnsi="微软雅黑" w:cs="微软雅黑" w:hint="eastAsia"/>
          <w:lang w:eastAsia="zh-CN"/>
        </w:rPr>
        <w:t>树</w:t>
      </w:r>
      <w:r>
        <w:rPr>
          <w:lang w:eastAsia="zh-CN"/>
        </w:rPr>
        <w:t>科技（</w:t>
      </w:r>
      <w:r>
        <w:rPr>
          <w:lang w:eastAsia="zh-CN"/>
        </w:rPr>
        <w:t>688836.SH</w:t>
      </w:r>
      <w:r>
        <w:rPr>
          <w:lang w:eastAsia="zh-CN"/>
        </w:rPr>
        <w:t>）公司研究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lang w:eastAsia="zh-CN"/>
        </w:rPr>
        <w:t>告</w:t>
      </w:r>
    </w:p>
    <w:p w14:paraId="08A8959A" w14:textId="77777777" w:rsidR="00CE530A" w:rsidRDefault="00000000">
      <w:pPr>
        <w:spacing w:after="200"/>
        <w:ind w:firstLine="571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>经营与财务表现分析</w:t>
      </w:r>
    </w:p>
    <w:p w14:paraId="467FE56D" w14:textId="77777777" w:rsidR="00CE530A" w:rsidRDefault="00000000">
      <w:pPr>
        <w:ind w:firstLineChars="0" w:firstLine="0"/>
        <w:jc w:val="center"/>
        <w:rPr>
          <w:lang w:eastAsia="zh-CN"/>
        </w:rPr>
      </w:pPr>
      <w:r>
        <w:rPr>
          <w:color w:val="767676"/>
          <w:sz w:val="21"/>
          <w:lang w:eastAsia="zh-CN"/>
        </w:rPr>
        <w:t>资料截止日：</w:t>
      </w:r>
      <w:r>
        <w:rPr>
          <w:color w:val="767676"/>
          <w:sz w:val="21"/>
          <w:lang w:eastAsia="zh-CN"/>
        </w:rPr>
        <w:t>2026</w:t>
      </w:r>
      <w:r>
        <w:rPr>
          <w:color w:val="767676"/>
          <w:sz w:val="21"/>
          <w:lang w:eastAsia="zh-CN"/>
        </w:rPr>
        <w:t>年</w:t>
      </w:r>
      <w:r>
        <w:rPr>
          <w:color w:val="767676"/>
          <w:sz w:val="21"/>
          <w:lang w:eastAsia="zh-CN"/>
        </w:rPr>
        <w:t>8</w:t>
      </w:r>
      <w:r>
        <w:rPr>
          <w:color w:val="767676"/>
          <w:sz w:val="21"/>
          <w:lang w:eastAsia="zh-CN"/>
        </w:rPr>
        <w:t>月</w:t>
      </w:r>
      <w:r>
        <w:rPr>
          <w:color w:val="767676"/>
          <w:sz w:val="21"/>
          <w:lang w:eastAsia="zh-CN"/>
        </w:rPr>
        <w:t>30</w:t>
      </w:r>
      <w:r>
        <w:rPr>
          <w:color w:val="767676"/>
          <w:sz w:val="21"/>
          <w:lang w:eastAsia="zh-CN"/>
        </w:rPr>
        <w:t>日（该日之后二级市场行情不纳入）｜生成日期：</w:t>
      </w:r>
      <w:r>
        <w:rPr>
          <w:color w:val="767676"/>
          <w:sz w:val="21"/>
          <w:lang w:eastAsia="zh-CN"/>
        </w:rPr>
        <w:t>2026</w:t>
      </w:r>
      <w:r>
        <w:rPr>
          <w:color w:val="767676"/>
          <w:sz w:val="21"/>
          <w:lang w:eastAsia="zh-CN"/>
        </w:rPr>
        <w:t>年</w:t>
      </w:r>
      <w:r>
        <w:rPr>
          <w:color w:val="767676"/>
          <w:sz w:val="21"/>
          <w:lang w:eastAsia="zh-CN"/>
        </w:rPr>
        <w:t>9</w:t>
      </w:r>
      <w:r>
        <w:rPr>
          <w:color w:val="767676"/>
          <w:sz w:val="21"/>
          <w:lang w:eastAsia="zh-CN"/>
        </w:rPr>
        <w:t>月</w:t>
      </w:r>
      <w:r>
        <w:rPr>
          <w:color w:val="767676"/>
          <w:sz w:val="21"/>
          <w:lang w:eastAsia="zh-CN"/>
        </w:rPr>
        <w:t>4</w:t>
      </w:r>
      <w:r>
        <w:rPr>
          <w:color w:val="767676"/>
          <w:sz w:val="21"/>
          <w:lang w:eastAsia="zh-CN"/>
        </w:rPr>
        <w:t>日</w:t>
      </w:r>
    </w:p>
    <w:p w14:paraId="33914E15" w14:textId="77777777" w:rsidR="00CE530A" w:rsidRDefault="00000000">
      <w:pPr>
        <w:spacing w:after="200"/>
        <w:ind w:firstLineChars="0" w:firstLine="0"/>
        <w:jc w:val="center"/>
        <w:rPr>
          <w:lang w:eastAsia="zh-CN"/>
        </w:rPr>
      </w:pPr>
      <w:r>
        <w:rPr>
          <w:color w:val="767676"/>
          <w:sz w:val="21"/>
          <w:lang w:eastAsia="zh-CN"/>
        </w:rPr>
        <w:t>金额单位除注明外均为人民币万元；</w:t>
      </w:r>
      <w:r>
        <w:rPr>
          <w:color w:val="767676"/>
          <w:sz w:val="21"/>
          <w:lang w:eastAsia="zh-CN"/>
        </w:rPr>
        <w:t>A</w:t>
      </w:r>
      <w:r>
        <w:rPr>
          <w:color w:val="767676"/>
          <w:sz w:val="21"/>
          <w:lang w:eastAsia="zh-CN"/>
        </w:rPr>
        <w:t>＝已实现（经审计</w:t>
      </w:r>
      <w:r>
        <w:rPr>
          <w:color w:val="767676"/>
          <w:sz w:val="21"/>
          <w:lang w:eastAsia="zh-CN"/>
        </w:rPr>
        <w:t>/</w:t>
      </w:r>
      <w:r>
        <w:rPr>
          <w:color w:val="767676"/>
          <w:sz w:val="21"/>
          <w:lang w:eastAsia="zh-CN"/>
        </w:rPr>
        <w:t>经审阅</w:t>
      </w:r>
      <w:r>
        <w:rPr>
          <w:color w:val="767676"/>
          <w:sz w:val="21"/>
          <w:lang w:eastAsia="zh-CN"/>
        </w:rPr>
        <w:t>/</w:t>
      </w:r>
      <w:r>
        <w:rPr>
          <w:color w:val="767676"/>
          <w:sz w:val="21"/>
          <w:lang w:eastAsia="zh-CN"/>
        </w:rPr>
        <w:t>上市公告书披露），</w:t>
      </w:r>
      <w:r>
        <w:rPr>
          <w:color w:val="767676"/>
          <w:sz w:val="21"/>
          <w:lang w:eastAsia="zh-CN"/>
        </w:rPr>
        <w:t>E</w:t>
      </w:r>
      <w:r>
        <w:rPr>
          <w:color w:val="767676"/>
          <w:sz w:val="21"/>
          <w:lang w:eastAsia="zh-CN"/>
        </w:rPr>
        <w:t>＝预测；年度数据采用招股说明书注册稿口径。</w:t>
      </w:r>
    </w:p>
    <w:p w14:paraId="686D3A0B" w14:textId="77777777" w:rsidR="00CE530A" w:rsidRDefault="00000000">
      <w:pPr>
        <w:ind w:firstLine="571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>目</w:t>
      </w:r>
      <w:r>
        <w:rPr>
          <w:rFonts w:eastAsia="黑体"/>
          <w:b/>
          <w:sz w:val="28"/>
          <w:lang w:eastAsia="zh-CN"/>
        </w:rPr>
        <w:t xml:space="preserve">  </w:t>
      </w:r>
      <w:r>
        <w:rPr>
          <w:rFonts w:eastAsia="黑体"/>
          <w:b/>
          <w:sz w:val="28"/>
          <w:lang w:eastAsia="zh-CN"/>
        </w:rPr>
        <w:t>录</w:t>
      </w:r>
    </w:p>
    <w:p w14:paraId="41589D99" w14:textId="77777777" w:rsidR="00CE530A" w:rsidRDefault="00000000">
      <w:pPr>
        <w:ind w:firstLine="420"/>
        <w:rPr>
          <w:lang w:eastAsia="zh-CN"/>
        </w:rPr>
      </w:pPr>
      <w:r>
        <w:rPr>
          <w:color w:val="767676"/>
          <w:sz w:val="21"/>
        </w:rPr>
        <w:fldChar w:fldCharType="begin"/>
      </w:r>
      <w:r>
        <w:rPr>
          <w:color w:val="767676"/>
          <w:sz w:val="21"/>
          <w:lang w:eastAsia="zh-CN"/>
        </w:rPr>
        <w:instrText>TOC \o "1-2" \h \z \u</w:instrText>
      </w:r>
      <w:r>
        <w:rPr>
          <w:color w:val="767676"/>
          <w:sz w:val="21"/>
        </w:rPr>
        <w:fldChar w:fldCharType="separate"/>
      </w:r>
      <w:r>
        <w:rPr>
          <w:color w:val="767676"/>
          <w:sz w:val="21"/>
          <w:lang w:eastAsia="zh-CN"/>
        </w:rPr>
        <w:t>（打开后右键</w:t>
      </w:r>
      <w:r>
        <w:rPr>
          <w:color w:val="767676"/>
          <w:sz w:val="21"/>
          <w:lang w:eastAsia="zh-CN"/>
        </w:rPr>
        <w:t>“</w:t>
      </w:r>
      <w:r>
        <w:rPr>
          <w:color w:val="767676"/>
          <w:sz w:val="21"/>
          <w:lang w:eastAsia="zh-CN"/>
        </w:rPr>
        <w:t>更新域</w:t>
      </w:r>
      <w:r>
        <w:rPr>
          <w:color w:val="767676"/>
          <w:sz w:val="21"/>
          <w:lang w:eastAsia="zh-CN"/>
        </w:rPr>
        <w:t>”</w:t>
      </w:r>
      <w:r>
        <w:rPr>
          <w:color w:val="767676"/>
          <w:sz w:val="21"/>
          <w:lang w:eastAsia="zh-CN"/>
        </w:rPr>
        <w:t>即可生成目录）</w:t>
      </w:r>
      <w:r>
        <w:rPr>
          <w:color w:val="767676"/>
          <w:sz w:val="21"/>
        </w:rPr>
        <w:fldChar w:fldCharType="end"/>
      </w:r>
    </w:p>
    <w:p w14:paraId="7FA2DC1B" w14:textId="77777777" w:rsidR="00CE530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E2FCBC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执行摘要</w:t>
      </w:r>
    </w:p>
    <w:p w14:paraId="1006749E" w14:textId="0160AB02" w:rsidR="00CE530A" w:rsidRDefault="00000000">
      <w:pPr>
        <w:rPr>
          <w:lang w:eastAsia="zh-CN"/>
        </w:rPr>
      </w:pPr>
      <w:r>
        <w:rPr>
          <w:lang w:eastAsia="zh-CN"/>
        </w:rPr>
        <w:t>核心判断：宇树科技处于</w:t>
      </w:r>
      <w:r>
        <w:rPr>
          <w:lang w:eastAsia="zh-CN"/>
        </w:rPr>
        <w:t>“</w:t>
      </w:r>
      <w:r>
        <w:rPr>
          <w:lang w:eastAsia="zh-CN"/>
        </w:rPr>
        <w:t>收入高速扩张、产品结构快速切换、盈利质量以扣非口径更真实</w:t>
      </w:r>
      <w:r>
        <w:rPr>
          <w:lang w:eastAsia="zh-CN"/>
        </w:rPr>
        <w:t>”</w:t>
      </w:r>
      <w:r>
        <w:rPr>
          <w:lang w:eastAsia="zh-CN"/>
        </w:rPr>
        <w:t>的阶段。</w:t>
      </w:r>
      <w:r>
        <w:rPr>
          <w:lang w:eastAsia="zh-CN"/>
        </w:rPr>
        <w:t>2023—2025</w:t>
      </w:r>
      <w:r>
        <w:rPr>
          <w:lang w:eastAsia="zh-CN"/>
        </w:rPr>
        <w:t>年营业收入由</w:t>
      </w:r>
      <w:r>
        <w:rPr>
          <w:lang w:eastAsia="zh-CN"/>
        </w:rPr>
        <w:t>1.59</w:t>
      </w:r>
      <w:r>
        <w:rPr>
          <w:lang w:eastAsia="zh-CN"/>
        </w:rPr>
        <w:t>亿元增至</w:t>
      </w:r>
      <w:r>
        <w:rPr>
          <w:lang w:eastAsia="zh-CN"/>
        </w:rPr>
        <w:t>16.99</w:t>
      </w:r>
      <w:r>
        <w:rPr>
          <w:lang w:eastAsia="zh-CN"/>
        </w:rPr>
        <w:t>亿元，两年复合增速约</w:t>
      </w:r>
      <w:r>
        <w:rPr>
          <w:lang w:eastAsia="zh-CN"/>
        </w:rPr>
        <w:t>226.8%</w:t>
      </w:r>
      <w:r>
        <w:rPr>
          <w:lang w:eastAsia="zh-CN"/>
        </w:rPr>
        <w:t>，但同比增速已由</w:t>
      </w:r>
      <w:r>
        <w:rPr>
          <w:lang w:eastAsia="zh-CN"/>
        </w:rPr>
        <w:t>2025</w:t>
      </w:r>
      <w:r>
        <w:rPr>
          <w:lang w:eastAsia="zh-CN"/>
        </w:rPr>
        <w:t>年全年的</w:t>
      </w:r>
      <w:r>
        <w:rPr>
          <w:lang w:eastAsia="zh-CN"/>
        </w:rPr>
        <w:t>332.6%</w:t>
      </w:r>
      <w:r>
        <w:rPr>
          <w:lang w:eastAsia="zh-CN"/>
        </w:rPr>
        <w:t>回落至</w:t>
      </w:r>
      <w:r>
        <w:rPr>
          <w:lang w:eastAsia="zh-CN"/>
        </w:rPr>
        <w:t>2026</w:t>
      </w:r>
      <w:r>
        <w:rPr>
          <w:lang w:eastAsia="zh-CN"/>
        </w:rPr>
        <w:t>年上半年的</w:t>
      </w:r>
      <w:r>
        <w:rPr>
          <w:lang w:eastAsia="zh-CN"/>
        </w:rPr>
        <w:t>48.5%</w:t>
      </w:r>
      <w:r>
        <w:rPr>
          <w:lang w:eastAsia="zh-CN"/>
        </w:rPr>
        <w:t>，</w:t>
      </w:r>
      <w:r w:rsidR="00FD1888">
        <w:rPr>
          <w:lang w:eastAsia="zh-CN"/>
        </w:rPr>
        <w:t>高增速阶段正在放缓</w:t>
      </w:r>
      <w:r>
        <w:rPr>
          <w:lang w:eastAsia="zh-CN"/>
        </w:rPr>
        <w:t>；</w:t>
      </w:r>
      <w:r>
        <w:rPr>
          <w:lang w:eastAsia="zh-CN"/>
        </w:rPr>
        <w:t>2025</w:t>
      </w:r>
      <w:r>
        <w:rPr>
          <w:lang w:eastAsia="zh-CN"/>
        </w:rPr>
        <w:t>年人形机器人收入占比过半、取代四足成为第一大产品，同时研发与销售费用扩张使</w:t>
      </w:r>
      <w:r>
        <w:rPr>
          <w:lang w:eastAsia="zh-CN"/>
        </w:rPr>
        <w:t>2026</w:t>
      </w:r>
      <w:r>
        <w:rPr>
          <w:lang w:eastAsia="zh-CN"/>
        </w:rPr>
        <w:t>年上半年扣非利润同比下降，规模增长与盈利承压并存。</w:t>
      </w:r>
    </w:p>
    <w:p w14:paraId="62B48D57" w14:textId="77777777" w:rsidR="00CE530A" w:rsidRDefault="00000000">
      <w:pPr>
        <w:rPr>
          <w:lang w:eastAsia="zh-CN"/>
        </w:rPr>
      </w:pPr>
      <w:r>
        <w:rPr>
          <w:lang w:eastAsia="zh-CN"/>
        </w:rPr>
        <w:t>关键依据：</w:t>
      </w:r>
      <w:r>
        <w:rPr>
          <w:lang w:eastAsia="zh-CN"/>
        </w:rPr>
        <w:t>①2025</w:t>
      </w:r>
      <w:r>
        <w:rPr>
          <w:lang w:eastAsia="zh-CN"/>
        </w:rPr>
        <w:t>年营业收入</w:t>
      </w:r>
      <w:r>
        <w:rPr>
          <w:lang w:eastAsia="zh-CN"/>
        </w:rPr>
        <w:t>169,926.93</w:t>
      </w:r>
      <w:r>
        <w:rPr>
          <w:lang w:eastAsia="zh-CN"/>
        </w:rPr>
        <w:t>万元、扣非后归母净利润</w:t>
      </w:r>
      <w:r>
        <w:rPr>
          <w:lang w:eastAsia="zh-CN"/>
        </w:rPr>
        <w:t>59,075.28</w:t>
      </w:r>
      <w:r>
        <w:rPr>
          <w:lang w:eastAsia="zh-CN"/>
        </w:rPr>
        <w:t>万元、扣非净利率约</w:t>
      </w:r>
      <w:r>
        <w:rPr>
          <w:lang w:eastAsia="zh-CN"/>
        </w:rPr>
        <w:t>34.8%</w:t>
      </w:r>
      <w:r>
        <w:rPr>
          <w:lang w:eastAsia="zh-CN"/>
        </w:rPr>
        <w:t>、主营业务毛利率</w:t>
      </w:r>
      <w:r>
        <w:rPr>
          <w:lang w:eastAsia="zh-CN"/>
        </w:rPr>
        <w:t>60.13%</w:t>
      </w:r>
      <w:r>
        <w:rPr>
          <w:lang w:eastAsia="zh-CN"/>
        </w:rPr>
        <w:t>；</w:t>
      </w:r>
      <w:r>
        <w:rPr>
          <w:lang w:eastAsia="zh-CN"/>
        </w:rPr>
        <w:t>②</w:t>
      </w:r>
      <w:r>
        <w:rPr>
          <w:lang w:eastAsia="zh-CN"/>
        </w:rPr>
        <w:t>归母净利润</w:t>
      </w:r>
      <w:r>
        <w:rPr>
          <w:lang w:eastAsia="zh-CN"/>
        </w:rPr>
        <w:t>27,821.05</w:t>
      </w:r>
      <w:r>
        <w:rPr>
          <w:lang w:eastAsia="zh-CN"/>
        </w:rPr>
        <w:t>万元低于扣非数，差额</w:t>
      </w:r>
      <w:r>
        <w:rPr>
          <w:lang w:eastAsia="zh-CN"/>
        </w:rPr>
        <w:t>-31,254.23</w:t>
      </w:r>
      <w:r>
        <w:rPr>
          <w:lang w:eastAsia="zh-CN"/>
        </w:rPr>
        <w:t>万元为非经常性净损失（主要为股份支付），分析盈利应以扣非为主；</w:t>
      </w:r>
      <w:r>
        <w:rPr>
          <w:lang w:eastAsia="zh-CN"/>
        </w:rPr>
        <w:t>③</w:t>
      </w:r>
      <w:r>
        <w:rPr>
          <w:lang w:eastAsia="zh-CN"/>
        </w:rPr>
        <w:t>人形机器人收入占主营比重由</w:t>
      </w:r>
      <w:r>
        <w:rPr>
          <w:lang w:eastAsia="zh-CN"/>
        </w:rPr>
        <w:t>1.88%</w:t>
      </w:r>
      <w:r>
        <w:rPr>
          <w:lang w:eastAsia="zh-CN"/>
        </w:rPr>
        <w:t>升至</w:t>
      </w:r>
      <w:r>
        <w:rPr>
          <w:lang w:eastAsia="zh-CN"/>
        </w:rPr>
        <w:t>51.78%</w:t>
      </w:r>
      <w:r>
        <w:rPr>
          <w:lang w:eastAsia="zh-CN"/>
        </w:rPr>
        <w:t>，销量由</w:t>
      </w:r>
      <w:r>
        <w:rPr>
          <w:lang w:eastAsia="zh-CN"/>
        </w:rPr>
        <w:t>5</w:t>
      </w:r>
      <w:r>
        <w:rPr>
          <w:lang w:eastAsia="zh-CN"/>
        </w:rPr>
        <w:t>台增至</w:t>
      </w:r>
      <w:r>
        <w:rPr>
          <w:lang w:eastAsia="zh-CN"/>
        </w:rPr>
        <w:t>5,215</w:t>
      </w:r>
      <w:r>
        <w:rPr>
          <w:lang w:eastAsia="zh-CN"/>
        </w:rPr>
        <w:t>台、平均单价由</w:t>
      </w:r>
      <w:r>
        <w:rPr>
          <w:lang w:eastAsia="zh-CN"/>
        </w:rPr>
        <w:t>59.34</w:t>
      </w:r>
      <w:r>
        <w:rPr>
          <w:lang w:eastAsia="zh-CN"/>
        </w:rPr>
        <w:t>万元降至</w:t>
      </w:r>
      <w:r>
        <w:rPr>
          <w:lang w:eastAsia="zh-CN"/>
        </w:rPr>
        <w:t>16.64</w:t>
      </w:r>
      <w:r>
        <w:rPr>
          <w:lang w:eastAsia="zh-CN"/>
        </w:rPr>
        <w:t>万元；</w:t>
      </w:r>
      <w:r>
        <w:rPr>
          <w:lang w:eastAsia="zh-CN"/>
        </w:rPr>
        <w:t>④2025</w:t>
      </w:r>
      <w:r>
        <w:rPr>
          <w:lang w:eastAsia="zh-CN"/>
        </w:rPr>
        <w:t>年经营活动现金流净额</w:t>
      </w:r>
      <w:r>
        <w:rPr>
          <w:lang w:eastAsia="zh-CN"/>
        </w:rPr>
        <w:t>66,998.18</w:t>
      </w:r>
      <w:r>
        <w:rPr>
          <w:lang w:eastAsia="zh-CN"/>
        </w:rPr>
        <w:t>万元、合并资产负债率</w:t>
      </w:r>
      <w:r>
        <w:rPr>
          <w:lang w:eastAsia="zh-CN"/>
        </w:rPr>
        <w:t>18.82%</w:t>
      </w:r>
      <w:r>
        <w:rPr>
          <w:lang w:eastAsia="zh-CN"/>
        </w:rPr>
        <w:t>，报表稳健；</w:t>
      </w:r>
      <w:r>
        <w:rPr>
          <w:lang w:eastAsia="zh-CN"/>
        </w:rPr>
        <w:t>⑤2026</w:t>
      </w:r>
      <w:r>
        <w:rPr>
          <w:lang w:eastAsia="zh-CN"/>
        </w:rPr>
        <w:t>年上半年营收</w:t>
      </w:r>
      <w:r>
        <w:rPr>
          <w:lang w:eastAsia="zh-CN"/>
        </w:rPr>
        <w:t>115,224.56</w:t>
      </w:r>
      <w:r>
        <w:rPr>
          <w:lang w:eastAsia="zh-CN"/>
        </w:rPr>
        <w:t>万元（同比</w:t>
      </w:r>
      <w:r>
        <w:rPr>
          <w:lang w:eastAsia="zh-CN"/>
        </w:rPr>
        <w:t>+48.5%</w:t>
      </w:r>
      <w:r>
        <w:rPr>
          <w:lang w:eastAsia="zh-CN"/>
        </w:rPr>
        <w:t>）、扣非</w:t>
      </w:r>
      <w:r>
        <w:rPr>
          <w:lang w:eastAsia="zh-CN"/>
        </w:rPr>
        <w:t>24,393.03</w:t>
      </w:r>
      <w:r>
        <w:rPr>
          <w:lang w:eastAsia="zh-CN"/>
        </w:rPr>
        <w:t>万元（同比</w:t>
      </w:r>
      <w:r>
        <w:rPr>
          <w:lang w:eastAsia="zh-CN"/>
        </w:rPr>
        <w:t>-19.3%</w:t>
      </w:r>
      <w:r>
        <w:rPr>
          <w:lang w:eastAsia="zh-CN"/>
        </w:rPr>
        <w:t>）。</w:t>
      </w:r>
    </w:p>
    <w:p w14:paraId="439F286F" w14:textId="77777777" w:rsidR="00CE530A" w:rsidRDefault="00000000">
      <w:pPr>
        <w:rPr>
          <w:lang w:eastAsia="zh-CN"/>
        </w:rPr>
      </w:pPr>
      <w:r>
        <w:rPr>
          <w:lang w:eastAsia="zh-CN"/>
        </w:rPr>
        <w:t>主要约束：人形下游仍以科研教育为主（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1—9</w:t>
      </w:r>
      <w:r>
        <w:rPr>
          <w:lang w:eastAsia="zh-CN"/>
        </w:rPr>
        <w:t>月占人形收入</w:t>
      </w:r>
      <w:r>
        <w:rPr>
          <w:lang w:eastAsia="zh-CN"/>
        </w:rPr>
        <w:t>73.6%</w:t>
      </w:r>
      <w:r>
        <w:rPr>
          <w:lang w:eastAsia="zh-CN"/>
        </w:rPr>
        <w:t>）、行业规模化商业落地尚早；产品降价与费用扩张可能继续压制利润率；</w:t>
      </w:r>
      <w:r>
        <w:rPr>
          <w:lang w:eastAsia="zh-CN"/>
        </w:rPr>
        <w:t>2026</w:t>
      </w:r>
      <w:r>
        <w:rPr>
          <w:lang w:eastAsia="zh-CN"/>
        </w:rPr>
        <w:t>年上半年数据取自上市公告书、未经审计；发行估值偏高（发行市盈率</w:t>
      </w:r>
      <w:r>
        <w:rPr>
          <w:lang w:eastAsia="zh-CN"/>
        </w:rPr>
        <w:t>219.23</w:t>
      </w:r>
      <w:r>
        <w:rPr>
          <w:lang w:eastAsia="zh-CN"/>
        </w:rPr>
        <w:t>倍为媒体口径、待核）。</w:t>
      </w:r>
    </w:p>
    <w:p w14:paraId="4BDEFE65" w14:textId="77777777" w:rsidR="00CE530A" w:rsidRDefault="00000000">
      <w:pPr>
        <w:rPr>
          <w:lang w:eastAsia="zh-CN"/>
        </w:rPr>
      </w:pPr>
      <w:r>
        <w:rPr>
          <w:lang w:eastAsia="zh-CN"/>
        </w:rPr>
        <w:t>关注动作：跟踪扣非利润率与费用率拐点、人形在行业应用场景的订单占比、募投项目（模型</w:t>
      </w:r>
      <w:r>
        <w:rPr>
          <w:lang w:eastAsia="zh-CN"/>
        </w:rPr>
        <w:t>/</w:t>
      </w:r>
      <w:r>
        <w:rPr>
          <w:lang w:eastAsia="zh-CN"/>
        </w:rPr>
        <w:t>本体</w:t>
      </w:r>
      <w:r>
        <w:rPr>
          <w:lang w:eastAsia="zh-CN"/>
        </w:rPr>
        <w:t>/</w:t>
      </w:r>
      <w:r>
        <w:rPr>
          <w:lang w:eastAsia="zh-CN"/>
        </w:rPr>
        <w:t>制造基地）实际投入与达产进度，以及正式半年报对上市公告书数据的审计确认。</w:t>
      </w:r>
    </w:p>
    <w:p w14:paraId="44D23AE3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  </w:t>
      </w:r>
      <w:r>
        <w:rPr>
          <w:rFonts w:ascii="Arial" w:eastAsia="黑体" w:hAnsi="Arial"/>
          <w:lang w:eastAsia="zh-CN"/>
        </w:rPr>
        <w:t>公司概况、主营业务与产品结构</w:t>
      </w:r>
    </w:p>
    <w:p w14:paraId="5029FA45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1.1  </w:t>
      </w:r>
      <w:r>
        <w:rPr>
          <w:rFonts w:ascii="Arial" w:eastAsia="黑体" w:hAnsi="Arial"/>
          <w:lang w:eastAsia="zh-CN"/>
        </w:rPr>
        <w:t>公司概况与发行上市</w:t>
      </w:r>
    </w:p>
    <w:p w14:paraId="757300CE" w14:textId="77777777" w:rsidR="00CE530A" w:rsidRDefault="00000000">
      <w:pPr>
        <w:rPr>
          <w:lang w:eastAsia="zh-CN"/>
        </w:rPr>
      </w:pPr>
      <w:r>
        <w:rPr>
          <w:lang w:eastAsia="zh-CN"/>
        </w:rPr>
        <w:t>宇树科技股份有限公司（简称宇树科技，科创板代码</w:t>
      </w:r>
      <w:r>
        <w:rPr>
          <w:lang w:eastAsia="zh-CN"/>
        </w:rPr>
        <w:t>688836.SH</w:t>
      </w:r>
      <w:r>
        <w:rPr>
          <w:lang w:eastAsia="zh-CN"/>
        </w:rPr>
        <w:t>）主营高性能通用人形机器人、四足机器人、机器人组件及具身智能模型的研发、生产与销售，于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日在上海证券交易所科创板上市。本次公开发行</w:t>
      </w:r>
      <w:r>
        <w:rPr>
          <w:lang w:eastAsia="zh-CN"/>
        </w:rPr>
        <w:t>4,044.6434</w:t>
      </w:r>
      <w:r>
        <w:rPr>
          <w:lang w:eastAsia="zh-CN"/>
        </w:rPr>
        <w:t>万股、占发行后总股本</w:t>
      </w:r>
      <w:r>
        <w:rPr>
          <w:lang w:eastAsia="zh-CN"/>
        </w:rPr>
        <w:t>10.00%</w:t>
      </w:r>
      <w:r>
        <w:rPr>
          <w:lang w:eastAsia="zh-CN"/>
        </w:rPr>
        <w:t>，发行价</w:t>
      </w:r>
      <w:r>
        <w:rPr>
          <w:lang w:eastAsia="zh-CN"/>
        </w:rPr>
        <w:t>150.80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股，发行募资总额</w:t>
      </w:r>
      <w:r>
        <w:rPr>
          <w:lang w:eastAsia="zh-CN"/>
        </w:rPr>
        <w:t>60.99</w:t>
      </w:r>
      <w:r>
        <w:rPr>
          <w:lang w:eastAsia="zh-CN"/>
        </w:rPr>
        <w:t>亿元、净额</w:t>
      </w:r>
      <w:r>
        <w:rPr>
          <w:lang w:eastAsia="zh-CN"/>
        </w:rPr>
        <w:t>59.17</w:t>
      </w:r>
      <w:r>
        <w:rPr>
          <w:lang w:eastAsia="zh-CN"/>
        </w:rPr>
        <w:t>亿元，发行价对应市值</w:t>
      </w:r>
      <w:r>
        <w:rPr>
          <w:lang w:eastAsia="zh-CN"/>
        </w:rPr>
        <w:t>609.93</w:t>
      </w:r>
      <w:r>
        <w:rPr>
          <w:lang w:eastAsia="zh-CN"/>
        </w:rPr>
        <w:t>亿元；公司设置表决权差异安排，按</w:t>
      </w:r>
      <w:r>
        <w:rPr>
          <w:lang w:eastAsia="zh-CN"/>
        </w:rPr>
        <w:t>“</w:t>
      </w:r>
      <w:r>
        <w:rPr>
          <w:lang w:eastAsia="zh-CN"/>
        </w:rPr>
        <w:t>预计市值不低于</w:t>
      </w:r>
      <w:r>
        <w:rPr>
          <w:lang w:eastAsia="zh-CN"/>
        </w:rPr>
        <w:t>100</w:t>
      </w:r>
      <w:r>
        <w:rPr>
          <w:lang w:eastAsia="zh-CN"/>
        </w:rPr>
        <w:t>亿元</w:t>
      </w:r>
      <w:r>
        <w:rPr>
          <w:lang w:eastAsia="zh-CN"/>
        </w:rPr>
        <w:t>”</w:t>
      </w:r>
      <w:r>
        <w:rPr>
          <w:lang w:eastAsia="zh-CN"/>
        </w:rPr>
        <w:t>的科创板标准上市，实际控制人王兴兴发行后持股</w:t>
      </w:r>
      <w:r>
        <w:rPr>
          <w:lang w:eastAsia="zh-CN"/>
        </w:rPr>
        <w:t>21.44%</w:t>
      </w:r>
      <w:r>
        <w:rPr>
          <w:lang w:eastAsia="zh-CN"/>
        </w:rPr>
        <w:t>。</w:t>
      </w:r>
    </w:p>
    <w:p w14:paraId="57F2D393" w14:textId="77777777" w:rsidR="00CE530A" w:rsidRDefault="00000000">
      <w:pPr>
        <w:rPr>
          <w:lang w:eastAsia="zh-CN"/>
        </w:rPr>
      </w:pPr>
      <w:r>
        <w:rPr>
          <w:lang w:eastAsia="zh-CN"/>
        </w:rPr>
        <w:lastRenderedPageBreak/>
        <w:t>需要说明：发行市盈率</w:t>
      </w:r>
      <w:r>
        <w:rPr>
          <w:lang w:eastAsia="zh-CN"/>
        </w:rPr>
        <w:t>219.23</w:t>
      </w:r>
      <w:r>
        <w:rPr>
          <w:lang w:eastAsia="zh-CN"/>
        </w:rPr>
        <w:t>倍来自媒体口径，尚需以发行公告原文核验；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Pre-IPO</w:t>
      </w:r>
      <w:r>
        <w:rPr>
          <w:lang w:eastAsia="zh-CN"/>
        </w:rPr>
        <w:t>轮投前估值</w:t>
      </w:r>
      <w:r>
        <w:rPr>
          <w:lang w:eastAsia="zh-CN"/>
        </w:rPr>
        <w:t>120</w:t>
      </w:r>
      <w:r>
        <w:rPr>
          <w:lang w:eastAsia="zh-CN"/>
        </w:rPr>
        <w:t>亿元、投后</w:t>
      </w:r>
      <w:r>
        <w:rPr>
          <w:lang w:eastAsia="zh-CN"/>
        </w:rPr>
        <w:t>127</w:t>
      </w:r>
      <w:r>
        <w:rPr>
          <w:lang w:eastAsia="zh-CN"/>
        </w:rPr>
        <w:t>亿元，是</w:t>
      </w:r>
      <w:r>
        <w:rPr>
          <w:lang w:eastAsia="zh-CN"/>
        </w:rPr>
        <w:t>IPO</w:t>
      </w:r>
      <w:r>
        <w:rPr>
          <w:lang w:eastAsia="zh-CN"/>
        </w:rPr>
        <w:t>前最近一次市场化股权定价。</w:t>
      </w:r>
    </w:p>
    <w:p w14:paraId="19AB8818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1.2  </w:t>
      </w:r>
      <w:r>
        <w:rPr>
          <w:rFonts w:ascii="Arial" w:eastAsia="黑体" w:hAnsi="Arial"/>
          <w:lang w:eastAsia="zh-CN"/>
        </w:rPr>
        <w:t>产品结构：人形跃升为第一大产品</w:t>
      </w:r>
    </w:p>
    <w:p w14:paraId="6490C474" w14:textId="77777777" w:rsidR="00CE530A" w:rsidRDefault="00000000">
      <w:pPr>
        <w:rPr>
          <w:lang w:eastAsia="zh-CN"/>
        </w:rPr>
      </w:pPr>
      <w:r>
        <w:rPr>
          <w:lang w:eastAsia="zh-CN"/>
        </w:rPr>
        <w:t>按主营业务口径，公司收入由人形机器人、四足机器人、机器人组件及其他构成。</w:t>
      </w:r>
      <w:r>
        <w:rPr>
          <w:lang w:eastAsia="zh-CN"/>
        </w:rPr>
        <w:t>2023—2025</w:t>
      </w:r>
      <w:r>
        <w:rPr>
          <w:lang w:eastAsia="zh-CN"/>
        </w:rPr>
        <w:t>年结构发生根本性切换：人形机器人收入由</w:t>
      </w:r>
      <w:r>
        <w:rPr>
          <w:lang w:eastAsia="zh-CN"/>
        </w:rPr>
        <w:t>296.71</w:t>
      </w:r>
      <w:r>
        <w:rPr>
          <w:lang w:eastAsia="zh-CN"/>
        </w:rPr>
        <w:t>万元增至</w:t>
      </w:r>
      <w:r>
        <w:rPr>
          <w:lang w:eastAsia="zh-CN"/>
        </w:rPr>
        <w:t>86,783.19</w:t>
      </w:r>
      <w:r>
        <w:rPr>
          <w:lang w:eastAsia="zh-CN"/>
        </w:rPr>
        <w:t>万元，占主营比重由</w:t>
      </w:r>
      <w:r>
        <w:rPr>
          <w:lang w:eastAsia="zh-CN"/>
        </w:rPr>
        <w:t>1.88%</w:t>
      </w:r>
      <w:r>
        <w:rPr>
          <w:lang w:eastAsia="zh-CN"/>
        </w:rPr>
        <w:t>升至</w:t>
      </w:r>
      <w:r>
        <w:rPr>
          <w:lang w:eastAsia="zh-CN"/>
        </w:rPr>
        <w:t>51.78%</w:t>
      </w:r>
      <w:r>
        <w:rPr>
          <w:lang w:eastAsia="zh-CN"/>
        </w:rPr>
        <w:t>；四足机器人由</w:t>
      </w:r>
      <w:r>
        <w:rPr>
          <w:lang w:eastAsia="zh-CN"/>
        </w:rPr>
        <w:t>11,938.09</w:t>
      </w:r>
      <w:r>
        <w:rPr>
          <w:lang w:eastAsia="zh-CN"/>
        </w:rPr>
        <w:t>万元增至</w:t>
      </w:r>
      <w:r>
        <w:rPr>
          <w:lang w:eastAsia="zh-CN"/>
        </w:rPr>
        <w:t>69,762.56</w:t>
      </w:r>
      <w:r>
        <w:rPr>
          <w:lang w:eastAsia="zh-CN"/>
        </w:rPr>
        <w:t>万元，占比由</w:t>
      </w:r>
      <w:r>
        <w:rPr>
          <w:lang w:eastAsia="zh-CN"/>
        </w:rPr>
        <w:t>75.78%</w:t>
      </w:r>
      <w:r>
        <w:rPr>
          <w:lang w:eastAsia="zh-CN"/>
        </w:rPr>
        <w:t>降至</w:t>
      </w:r>
      <w:r>
        <w:rPr>
          <w:lang w:eastAsia="zh-CN"/>
        </w:rPr>
        <w:t>41.62%</w:t>
      </w:r>
      <w:r>
        <w:rPr>
          <w:lang w:eastAsia="zh-CN"/>
        </w:rPr>
        <w:t>，由绝对主力转为基本盘；组件及其他占比降至约</w:t>
      </w:r>
      <w:r>
        <w:rPr>
          <w:lang w:eastAsia="zh-CN"/>
        </w:rPr>
        <w:t>6.6%</w:t>
      </w:r>
      <w:r>
        <w:rPr>
          <w:lang w:eastAsia="zh-CN"/>
        </w:rPr>
        <w:t>（</w:t>
      </w:r>
      <w:r>
        <w:rPr>
          <w:lang w:eastAsia="zh-CN"/>
        </w:rPr>
        <w:t>2025</w:t>
      </w:r>
      <w:r>
        <w:rPr>
          <w:lang w:eastAsia="zh-CN"/>
        </w:rPr>
        <w:t>年组件与其他未单列，按主营轧差，其中组件约</w:t>
      </w:r>
      <w:r>
        <w:rPr>
          <w:lang w:eastAsia="zh-CN"/>
        </w:rPr>
        <w:t>1.04</w:t>
      </w:r>
      <w:r>
        <w:rPr>
          <w:lang w:eastAsia="zh-CN"/>
        </w:rPr>
        <w:t>亿元、精确拆分待核）。</w:t>
      </w:r>
    </w:p>
    <w:p w14:paraId="20CD77C6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1  </w:t>
      </w:r>
      <w:r>
        <w:rPr>
          <w:b/>
          <w:sz w:val="21"/>
          <w:lang w:eastAsia="zh-CN"/>
        </w:rPr>
        <w:t>主营业务收入分产品结构（万元，主营口径）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1332"/>
        <w:gridCol w:w="1106"/>
        <w:gridCol w:w="1332"/>
        <w:gridCol w:w="1106"/>
        <w:gridCol w:w="1332"/>
        <w:gridCol w:w="1106"/>
      </w:tblGrid>
      <w:tr w:rsidR="00CE530A" w14:paraId="133E8282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D9D9"/>
            <w:vAlign w:val="center"/>
          </w:tcPr>
          <w:p w14:paraId="0578B469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产品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02ADCC95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2023A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608E1897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465235FE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2024A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5AEE39A6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0026701F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2025A</w:t>
            </w:r>
          </w:p>
        </w:tc>
        <w:tc>
          <w:tcPr>
            <w:tcW w:w="1106" w:type="dxa"/>
            <w:shd w:val="clear" w:color="auto" w:fill="D9D9D9"/>
            <w:vAlign w:val="center"/>
          </w:tcPr>
          <w:p w14:paraId="5DA80E6E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</w:tr>
      <w:tr w:rsidR="00CE530A" w14:paraId="28DD193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0217058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人形机器人</w:t>
            </w:r>
          </w:p>
        </w:tc>
        <w:tc>
          <w:tcPr>
            <w:tcW w:w="1332" w:type="dxa"/>
            <w:vAlign w:val="center"/>
          </w:tcPr>
          <w:p w14:paraId="7DDFC5D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296.71</w:t>
            </w:r>
          </w:p>
        </w:tc>
        <w:tc>
          <w:tcPr>
            <w:tcW w:w="1106" w:type="dxa"/>
            <w:vAlign w:val="center"/>
          </w:tcPr>
          <w:p w14:paraId="0CB6D70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1.88%</w:t>
            </w:r>
          </w:p>
        </w:tc>
        <w:tc>
          <w:tcPr>
            <w:tcW w:w="1332" w:type="dxa"/>
            <w:vAlign w:val="center"/>
          </w:tcPr>
          <w:p w14:paraId="5D64DBD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10,689.76</w:t>
            </w:r>
          </w:p>
        </w:tc>
        <w:tc>
          <w:tcPr>
            <w:tcW w:w="1106" w:type="dxa"/>
            <w:vAlign w:val="center"/>
          </w:tcPr>
          <w:p w14:paraId="0153E52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27.60%</w:t>
            </w:r>
          </w:p>
        </w:tc>
        <w:tc>
          <w:tcPr>
            <w:tcW w:w="1332" w:type="dxa"/>
            <w:vAlign w:val="center"/>
          </w:tcPr>
          <w:p w14:paraId="0A8B25F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86,783.19</w:t>
            </w:r>
          </w:p>
        </w:tc>
        <w:tc>
          <w:tcPr>
            <w:tcW w:w="1106" w:type="dxa"/>
            <w:vAlign w:val="center"/>
          </w:tcPr>
          <w:p w14:paraId="173D61C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51.78%</w:t>
            </w:r>
          </w:p>
        </w:tc>
      </w:tr>
      <w:tr w:rsidR="00CE530A" w14:paraId="64C95BC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1C8C10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四足机器人</w:t>
            </w:r>
          </w:p>
        </w:tc>
        <w:tc>
          <w:tcPr>
            <w:tcW w:w="1332" w:type="dxa"/>
            <w:vAlign w:val="center"/>
          </w:tcPr>
          <w:p w14:paraId="73360B6D" w14:textId="31D99A67" w:rsidR="00CE530A" w:rsidRDefault="00FD7BD0">
            <w:pPr>
              <w:spacing w:line="240" w:lineRule="auto"/>
              <w:ind w:firstLineChars="0" w:firstLine="0"/>
              <w:jc w:val="right"/>
              <w:rPr>
                <w:rFonts w:hint="eastAsia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11,939.09</w:t>
            </w:r>
          </w:p>
        </w:tc>
        <w:tc>
          <w:tcPr>
            <w:tcW w:w="1106" w:type="dxa"/>
            <w:vAlign w:val="center"/>
          </w:tcPr>
          <w:p w14:paraId="7B61535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75.78%</w:t>
            </w:r>
          </w:p>
        </w:tc>
        <w:tc>
          <w:tcPr>
            <w:tcW w:w="1332" w:type="dxa"/>
            <w:vAlign w:val="center"/>
          </w:tcPr>
          <w:p w14:paraId="5FC8709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23,054.37</w:t>
            </w:r>
          </w:p>
        </w:tc>
        <w:tc>
          <w:tcPr>
            <w:tcW w:w="1106" w:type="dxa"/>
            <w:vAlign w:val="center"/>
          </w:tcPr>
          <w:p w14:paraId="27949EFC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59.53%</w:t>
            </w:r>
          </w:p>
        </w:tc>
        <w:tc>
          <w:tcPr>
            <w:tcW w:w="1332" w:type="dxa"/>
            <w:vAlign w:val="center"/>
          </w:tcPr>
          <w:p w14:paraId="0BA3F7A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69,762.56</w:t>
            </w:r>
          </w:p>
        </w:tc>
        <w:tc>
          <w:tcPr>
            <w:tcW w:w="1106" w:type="dxa"/>
            <w:vAlign w:val="center"/>
          </w:tcPr>
          <w:p w14:paraId="2C5F72F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41.62%</w:t>
            </w:r>
          </w:p>
        </w:tc>
      </w:tr>
      <w:tr w:rsidR="00CE530A" w14:paraId="160DC8B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1BD274B4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组件及其他</w:t>
            </w:r>
          </w:p>
        </w:tc>
        <w:tc>
          <w:tcPr>
            <w:tcW w:w="1332" w:type="dxa"/>
            <w:vAlign w:val="center"/>
          </w:tcPr>
          <w:p w14:paraId="73D3D29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3,518.85</w:t>
            </w:r>
          </w:p>
        </w:tc>
        <w:tc>
          <w:tcPr>
            <w:tcW w:w="1106" w:type="dxa"/>
            <w:vAlign w:val="center"/>
          </w:tcPr>
          <w:p w14:paraId="2042C35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22.34%</w:t>
            </w:r>
          </w:p>
        </w:tc>
        <w:tc>
          <w:tcPr>
            <w:tcW w:w="1332" w:type="dxa"/>
            <w:vAlign w:val="center"/>
          </w:tcPr>
          <w:p w14:paraId="3C4CF4B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4,983.15</w:t>
            </w:r>
          </w:p>
        </w:tc>
        <w:tc>
          <w:tcPr>
            <w:tcW w:w="1106" w:type="dxa"/>
            <w:vAlign w:val="center"/>
          </w:tcPr>
          <w:p w14:paraId="6F55D478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12.87%</w:t>
            </w:r>
          </w:p>
        </w:tc>
        <w:tc>
          <w:tcPr>
            <w:tcW w:w="1332" w:type="dxa"/>
            <w:vAlign w:val="center"/>
          </w:tcPr>
          <w:p w14:paraId="4AC4E95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11,065.34</w:t>
            </w:r>
          </w:p>
        </w:tc>
        <w:tc>
          <w:tcPr>
            <w:tcW w:w="1106" w:type="dxa"/>
            <w:vAlign w:val="center"/>
          </w:tcPr>
          <w:p w14:paraId="7F37ADA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6.60%</w:t>
            </w:r>
          </w:p>
        </w:tc>
      </w:tr>
      <w:tr w:rsidR="00CE530A" w14:paraId="6F0E582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9DA07A6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主营业务合计</w:t>
            </w:r>
          </w:p>
        </w:tc>
        <w:tc>
          <w:tcPr>
            <w:tcW w:w="1332" w:type="dxa"/>
            <w:vAlign w:val="center"/>
          </w:tcPr>
          <w:p w14:paraId="2C6425C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15,753.65</w:t>
            </w:r>
          </w:p>
        </w:tc>
        <w:tc>
          <w:tcPr>
            <w:tcW w:w="1106" w:type="dxa"/>
            <w:vAlign w:val="center"/>
          </w:tcPr>
          <w:p w14:paraId="1909044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100.00%</w:t>
            </w:r>
          </w:p>
        </w:tc>
        <w:tc>
          <w:tcPr>
            <w:tcW w:w="1332" w:type="dxa"/>
            <w:vAlign w:val="center"/>
          </w:tcPr>
          <w:p w14:paraId="09F6D7B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38,727.28</w:t>
            </w:r>
          </w:p>
        </w:tc>
        <w:tc>
          <w:tcPr>
            <w:tcW w:w="1106" w:type="dxa"/>
            <w:vAlign w:val="center"/>
          </w:tcPr>
          <w:p w14:paraId="5DBF385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100.00%</w:t>
            </w:r>
          </w:p>
        </w:tc>
        <w:tc>
          <w:tcPr>
            <w:tcW w:w="1332" w:type="dxa"/>
            <w:vAlign w:val="center"/>
          </w:tcPr>
          <w:p w14:paraId="0BE2254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167,611.09</w:t>
            </w:r>
          </w:p>
        </w:tc>
        <w:tc>
          <w:tcPr>
            <w:tcW w:w="1106" w:type="dxa"/>
            <w:vAlign w:val="center"/>
          </w:tcPr>
          <w:p w14:paraId="7DBDA27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100.00%</w:t>
            </w:r>
          </w:p>
        </w:tc>
      </w:tr>
    </w:tbl>
    <w:p w14:paraId="14583DAA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t>数据来源：招股说明书（注册稿）及券商研报转引（底稿</w:t>
      </w:r>
      <w:r>
        <w:rPr>
          <w:color w:val="767676"/>
          <w:sz w:val="18"/>
          <w:lang w:eastAsia="zh-CN"/>
        </w:rPr>
        <w:t>S1/S7/S8</w:t>
      </w:r>
      <w:r>
        <w:rPr>
          <w:color w:val="767676"/>
          <w:sz w:val="18"/>
          <w:lang w:eastAsia="zh-CN"/>
        </w:rPr>
        <w:t>）；占比由本表收入除以主营合计现算；</w:t>
      </w:r>
      <w:r>
        <w:rPr>
          <w:color w:val="767676"/>
          <w:sz w:val="18"/>
          <w:lang w:eastAsia="zh-CN"/>
        </w:rPr>
        <w:t>2025</w:t>
      </w:r>
      <w:r>
        <w:rPr>
          <w:color w:val="767676"/>
          <w:sz w:val="18"/>
          <w:lang w:eastAsia="zh-CN"/>
        </w:rPr>
        <w:t>年组件及其他为轧差数。</w:t>
      </w:r>
    </w:p>
    <w:p w14:paraId="18425B7B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1.3  </w:t>
      </w:r>
      <w:r>
        <w:rPr>
          <w:rFonts w:ascii="Arial" w:eastAsia="黑体" w:hAnsi="Arial"/>
          <w:lang w:eastAsia="zh-CN"/>
        </w:rPr>
        <w:t>销量与单价：量增价减</w:t>
      </w:r>
    </w:p>
    <w:p w14:paraId="44BC446A" w14:textId="77777777" w:rsidR="00CE530A" w:rsidRDefault="00000000">
      <w:pPr>
        <w:rPr>
          <w:lang w:eastAsia="zh-CN"/>
        </w:rPr>
      </w:pPr>
      <w:r>
        <w:rPr>
          <w:lang w:eastAsia="zh-CN"/>
        </w:rPr>
        <w:t>人形机器人销量由</w:t>
      </w:r>
      <w:r>
        <w:rPr>
          <w:lang w:eastAsia="zh-CN"/>
        </w:rPr>
        <w:t>2023</w:t>
      </w:r>
      <w:r>
        <w:rPr>
          <w:lang w:eastAsia="zh-CN"/>
        </w:rPr>
        <w:t>年的</w:t>
      </w:r>
      <w:r>
        <w:rPr>
          <w:lang w:eastAsia="zh-CN"/>
        </w:rPr>
        <w:t>5</w:t>
      </w:r>
      <w:r>
        <w:rPr>
          <w:lang w:eastAsia="zh-CN"/>
        </w:rPr>
        <w:t>台增至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412</w:t>
      </w:r>
      <w:r>
        <w:rPr>
          <w:lang w:eastAsia="zh-CN"/>
        </w:rPr>
        <w:t>台、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5,215</w:t>
      </w:r>
      <w:r>
        <w:rPr>
          <w:lang w:eastAsia="zh-CN"/>
        </w:rPr>
        <w:t>台，同期披露平均单价由</w:t>
      </w:r>
      <w:r>
        <w:rPr>
          <w:lang w:eastAsia="zh-CN"/>
        </w:rPr>
        <w:t>59.34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台降至</w:t>
      </w:r>
      <w:r>
        <w:rPr>
          <w:lang w:eastAsia="zh-CN"/>
        </w:rPr>
        <w:t>26.04</w:t>
      </w:r>
      <w:r>
        <w:rPr>
          <w:lang w:eastAsia="zh-CN"/>
        </w:rPr>
        <w:t>万元、再降至</w:t>
      </w:r>
      <w:r>
        <w:rPr>
          <w:lang w:eastAsia="zh-CN"/>
        </w:rPr>
        <w:t>16.64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台，价格带随</w:t>
      </w:r>
      <w:r>
        <w:rPr>
          <w:lang w:eastAsia="zh-CN"/>
        </w:rPr>
        <w:t>G1</w:t>
      </w:r>
      <w:r>
        <w:rPr>
          <w:lang w:eastAsia="zh-CN"/>
        </w:rPr>
        <w:t>等产品下探至</w:t>
      </w:r>
      <w:r>
        <w:rPr>
          <w:lang w:eastAsia="zh-CN"/>
        </w:rPr>
        <w:t>10</w:t>
      </w:r>
      <w:r>
        <w:rPr>
          <w:lang w:eastAsia="zh-CN"/>
        </w:rPr>
        <w:t>万元级；四足机器人销量由</w:t>
      </w:r>
      <w:r>
        <w:rPr>
          <w:lang w:eastAsia="zh-CN"/>
        </w:rPr>
        <w:t>3,121</w:t>
      </w:r>
      <w:r>
        <w:rPr>
          <w:lang w:eastAsia="zh-CN"/>
        </w:rPr>
        <w:t>台增至</w:t>
      </w:r>
      <w:r>
        <w:rPr>
          <w:lang w:eastAsia="zh-CN"/>
        </w:rPr>
        <w:t>23,037</w:t>
      </w:r>
      <w:r>
        <w:rPr>
          <w:lang w:eastAsia="zh-CN"/>
        </w:rPr>
        <w:t>台，单价由</w:t>
      </w:r>
      <w:r>
        <w:rPr>
          <w:lang w:eastAsia="zh-CN"/>
        </w:rPr>
        <w:t>3.83</w:t>
      </w:r>
      <w:r>
        <w:rPr>
          <w:lang w:eastAsia="zh-CN"/>
        </w:rPr>
        <w:t>万元降至</w:t>
      </w:r>
      <w:r>
        <w:rPr>
          <w:lang w:eastAsia="zh-CN"/>
        </w:rPr>
        <w:t>3.03</w:t>
      </w:r>
      <w:r>
        <w:rPr>
          <w:lang w:eastAsia="zh-CN"/>
        </w:rPr>
        <w:t>万元。出货放量伴随单位价格下行，是</w:t>
      </w:r>
      <w:r>
        <w:rPr>
          <w:lang w:eastAsia="zh-CN"/>
        </w:rPr>
        <w:t>“</w:t>
      </w:r>
      <w:r>
        <w:rPr>
          <w:lang w:eastAsia="zh-CN"/>
        </w:rPr>
        <w:t>以价换量、扩大装机基数</w:t>
      </w:r>
      <w:r>
        <w:rPr>
          <w:lang w:eastAsia="zh-CN"/>
        </w:rPr>
        <w:t>”</w:t>
      </w:r>
      <w:r>
        <w:rPr>
          <w:lang w:eastAsia="zh-CN"/>
        </w:rPr>
        <w:t>的典型路径。公司称</w:t>
      </w:r>
      <w:r>
        <w:rPr>
          <w:lang w:eastAsia="zh-CN"/>
        </w:rPr>
        <w:t>2025</w:t>
      </w:r>
      <w:r>
        <w:rPr>
          <w:lang w:eastAsia="zh-CN"/>
        </w:rPr>
        <w:t>年纯人形机器人出货超</w:t>
      </w:r>
      <w:r>
        <w:rPr>
          <w:lang w:eastAsia="zh-CN"/>
        </w:rPr>
        <w:t>5,500</w:t>
      </w:r>
      <w:r>
        <w:rPr>
          <w:lang w:eastAsia="zh-CN"/>
        </w:rPr>
        <w:t>台、出货量全球第一（与确认收入口径</w:t>
      </w:r>
      <w:r>
        <w:rPr>
          <w:lang w:eastAsia="zh-CN"/>
        </w:rPr>
        <w:t>5,215</w:t>
      </w:r>
      <w:r>
        <w:rPr>
          <w:lang w:eastAsia="zh-CN"/>
        </w:rPr>
        <w:t>台存在统计差异）；报告期四足累计销量超</w:t>
      </w:r>
      <w:r>
        <w:rPr>
          <w:lang w:eastAsia="zh-CN"/>
        </w:rPr>
        <w:t>3.3</w:t>
      </w:r>
      <w:r>
        <w:rPr>
          <w:lang w:eastAsia="zh-CN"/>
        </w:rPr>
        <w:t>万台。</w:t>
      </w:r>
    </w:p>
    <w:p w14:paraId="05998255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2  </w:t>
      </w:r>
      <w:r>
        <w:rPr>
          <w:b/>
          <w:sz w:val="21"/>
          <w:lang w:eastAsia="zh-CN"/>
        </w:rPr>
        <w:t>主要产品销量与平均单价（销量：台；单价：万元</w:t>
      </w:r>
      <w:r>
        <w:rPr>
          <w:b/>
          <w:sz w:val="21"/>
          <w:lang w:eastAsia="zh-CN"/>
        </w:rPr>
        <w:t>/</w:t>
      </w:r>
      <w:r>
        <w:rPr>
          <w:b/>
          <w:sz w:val="21"/>
          <w:lang w:eastAsia="zh-CN"/>
        </w:rPr>
        <w:t>台）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610"/>
        <w:gridCol w:w="2154"/>
        <w:gridCol w:w="2154"/>
        <w:gridCol w:w="2154"/>
      </w:tblGrid>
      <w:tr w:rsidR="00CE530A" w14:paraId="7E9056B4" w14:textId="77777777"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6D29B8F7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74A9BD82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2023A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2ED82614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2024A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35399EDD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2025A</w:t>
            </w:r>
          </w:p>
        </w:tc>
      </w:tr>
      <w:tr w:rsidR="00CE530A" w14:paraId="2F12A186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25B301B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人形销量</w:t>
            </w:r>
          </w:p>
        </w:tc>
        <w:tc>
          <w:tcPr>
            <w:tcW w:w="2154" w:type="dxa"/>
            <w:vAlign w:val="center"/>
          </w:tcPr>
          <w:p w14:paraId="7F5120E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</w:t>
            </w:r>
          </w:p>
        </w:tc>
        <w:tc>
          <w:tcPr>
            <w:tcW w:w="2154" w:type="dxa"/>
            <w:vAlign w:val="center"/>
          </w:tcPr>
          <w:p w14:paraId="6667EE0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412</w:t>
            </w:r>
          </w:p>
        </w:tc>
        <w:tc>
          <w:tcPr>
            <w:tcW w:w="2154" w:type="dxa"/>
            <w:vAlign w:val="center"/>
          </w:tcPr>
          <w:p w14:paraId="3C233E1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5,215</w:t>
            </w:r>
          </w:p>
        </w:tc>
      </w:tr>
      <w:tr w:rsidR="00CE530A" w14:paraId="20816F6B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8CB53FD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人形平均单价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披露</w:t>
            </w:r>
            <w:r>
              <w:rPr>
                <w:sz w:val="21"/>
              </w:rPr>
              <w:t>)</w:t>
            </w:r>
          </w:p>
        </w:tc>
        <w:tc>
          <w:tcPr>
            <w:tcW w:w="2154" w:type="dxa"/>
            <w:vAlign w:val="center"/>
          </w:tcPr>
          <w:p w14:paraId="2B62079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59.34</w:t>
            </w:r>
          </w:p>
        </w:tc>
        <w:tc>
          <w:tcPr>
            <w:tcW w:w="2154" w:type="dxa"/>
            <w:vAlign w:val="center"/>
          </w:tcPr>
          <w:p w14:paraId="6ACA47A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26.04</w:t>
            </w:r>
          </w:p>
        </w:tc>
        <w:tc>
          <w:tcPr>
            <w:tcW w:w="2154" w:type="dxa"/>
            <w:vAlign w:val="center"/>
          </w:tcPr>
          <w:p w14:paraId="6D2ADD8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16.64</w:t>
            </w:r>
          </w:p>
        </w:tc>
      </w:tr>
      <w:tr w:rsidR="00CE530A" w14:paraId="5BC7D6B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09C1A97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四足销量</w:t>
            </w:r>
          </w:p>
        </w:tc>
        <w:tc>
          <w:tcPr>
            <w:tcW w:w="2154" w:type="dxa"/>
            <w:vAlign w:val="center"/>
          </w:tcPr>
          <w:p w14:paraId="1FB4C79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3,121</w:t>
            </w:r>
          </w:p>
        </w:tc>
        <w:tc>
          <w:tcPr>
            <w:tcW w:w="2154" w:type="dxa"/>
            <w:vAlign w:val="center"/>
          </w:tcPr>
          <w:p w14:paraId="755A5A5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7,136</w:t>
            </w:r>
          </w:p>
        </w:tc>
        <w:tc>
          <w:tcPr>
            <w:tcW w:w="2154" w:type="dxa"/>
            <w:vAlign w:val="center"/>
          </w:tcPr>
          <w:p w14:paraId="26490EC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23,037</w:t>
            </w:r>
          </w:p>
        </w:tc>
      </w:tr>
      <w:tr w:rsidR="00CE530A" w14:paraId="42CB7A7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C84BA5E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四足平均单价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披露</w:t>
            </w:r>
            <w:r>
              <w:rPr>
                <w:sz w:val="21"/>
              </w:rPr>
              <w:t>)</w:t>
            </w:r>
          </w:p>
        </w:tc>
        <w:tc>
          <w:tcPr>
            <w:tcW w:w="2154" w:type="dxa"/>
            <w:vAlign w:val="center"/>
          </w:tcPr>
          <w:p w14:paraId="2AEE6F1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3.83</w:t>
            </w:r>
          </w:p>
        </w:tc>
        <w:tc>
          <w:tcPr>
            <w:tcW w:w="2154" w:type="dxa"/>
            <w:vAlign w:val="center"/>
          </w:tcPr>
          <w:p w14:paraId="1829392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3.23</w:t>
            </w:r>
          </w:p>
        </w:tc>
        <w:tc>
          <w:tcPr>
            <w:tcW w:w="2154" w:type="dxa"/>
            <w:vAlign w:val="center"/>
          </w:tcPr>
          <w:p w14:paraId="0083291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3.03</w:t>
            </w:r>
          </w:p>
        </w:tc>
      </w:tr>
    </w:tbl>
    <w:p w14:paraId="13253844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t>数据来源：底稿</w:t>
      </w:r>
      <w:r>
        <w:rPr>
          <w:color w:val="767676"/>
          <w:sz w:val="18"/>
          <w:lang w:eastAsia="zh-CN"/>
        </w:rPr>
        <w:t>S1/S7/S8</w:t>
      </w:r>
      <w:r>
        <w:rPr>
          <w:color w:val="767676"/>
          <w:sz w:val="18"/>
          <w:lang w:eastAsia="zh-CN"/>
        </w:rPr>
        <w:t>。注：人形</w:t>
      </w:r>
      <w:r>
        <w:rPr>
          <w:color w:val="767676"/>
          <w:sz w:val="18"/>
          <w:lang w:eastAsia="zh-CN"/>
        </w:rPr>
        <w:t>2024</w:t>
      </w:r>
      <w:r>
        <w:rPr>
          <w:color w:val="767676"/>
          <w:sz w:val="18"/>
          <w:lang w:eastAsia="zh-CN"/>
        </w:rPr>
        <w:t>年按注册稿销量</w:t>
      </w:r>
      <w:r>
        <w:rPr>
          <w:color w:val="767676"/>
          <w:sz w:val="18"/>
          <w:lang w:eastAsia="zh-CN"/>
        </w:rPr>
        <w:t>412</w:t>
      </w:r>
      <w:r>
        <w:rPr>
          <w:color w:val="767676"/>
          <w:sz w:val="18"/>
          <w:lang w:eastAsia="zh-CN"/>
        </w:rPr>
        <w:t>台机械相除得约</w:t>
      </w:r>
      <w:r>
        <w:rPr>
          <w:color w:val="767676"/>
          <w:sz w:val="18"/>
          <w:lang w:eastAsia="zh-CN"/>
        </w:rPr>
        <w:t>25.95</w:t>
      </w:r>
      <w:r>
        <w:rPr>
          <w:color w:val="767676"/>
          <w:sz w:val="18"/>
          <w:lang w:eastAsia="zh-CN"/>
        </w:rPr>
        <w:t>万元，与披露单价</w:t>
      </w:r>
      <w:r>
        <w:rPr>
          <w:color w:val="767676"/>
          <w:sz w:val="18"/>
          <w:lang w:eastAsia="zh-CN"/>
        </w:rPr>
        <w:t>26.04</w:t>
      </w:r>
      <w:r>
        <w:rPr>
          <w:color w:val="767676"/>
          <w:sz w:val="18"/>
          <w:lang w:eastAsia="zh-CN"/>
        </w:rPr>
        <w:t>万元的差异源于申报稿与注册稿版本修订，本报告采用披露值。</w:t>
      </w:r>
    </w:p>
    <w:p w14:paraId="15EC4745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 xml:space="preserve">1.4  </w:t>
      </w:r>
      <w:r>
        <w:rPr>
          <w:rFonts w:ascii="Arial" w:eastAsia="黑体" w:hAnsi="Arial"/>
          <w:lang w:eastAsia="zh-CN"/>
        </w:rPr>
        <w:t>地区结构：境内放量、境外占比回落</w:t>
      </w:r>
    </w:p>
    <w:p w14:paraId="2476EF3F" w14:textId="77777777" w:rsidR="00CE530A" w:rsidRDefault="00000000">
      <w:pPr>
        <w:rPr>
          <w:lang w:eastAsia="zh-CN"/>
        </w:rPr>
      </w:pPr>
      <w:r>
        <w:rPr>
          <w:lang w:eastAsia="zh-CN"/>
        </w:rPr>
        <w:t>2023—2024</w:t>
      </w:r>
      <w:r>
        <w:rPr>
          <w:lang w:eastAsia="zh-CN"/>
        </w:rPr>
        <w:t>年境外收入约占主营</w:t>
      </w:r>
      <w:r>
        <w:rPr>
          <w:lang w:eastAsia="zh-CN"/>
        </w:rPr>
        <w:t>55.6%—55.7%</w:t>
      </w:r>
      <w:r>
        <w:rPr>
          <w:lang w:eastAsia="zh-CN"/>
        </w:rPr>
        <w:t>，</w:t>
      </w:r>
      <w:r>
        <w:rPr>
          <w:lang w:eastAsia="zh-CN"/>
        </w:rPr>
        <w:t>2025</w:t>
      </w:r>
      <w:r>
        <w:rPr>
          <w:lang w:eastAsia="zh-CN"/>
        </w:rPr>
        <w:t>年境内收入</w:t>
      </w:r>
      <w:r>
        <w:rPr>
          <w:lang w:eastAsia="zh-CN"/>
        </w:rPr>
        <w:t>94,445.56</w:t>
      </w:r>
      <w:r>
        <w:rPr>
          <w:lang w:eastAsia="zh-CN"/>
        </w:rPr>
        <w:t>万元（占</w:t>
      </w:r>
      <w:r>
        <w:rPr>
          <w:lang w:eastAsia="zh-CN"/>
        </w:rPr>
        <w:t>56.35%</w:t>
      </w:r>
      <w:r>
        <w:rPr>
          <w:lang w:eastAsia="zh-CN"/>
        </w:rPr>
        <w:t>）反超境外</w:t>
      </w:r>
      <w:r>
        <w:rPr>
          <w:lang w:eastAsia="zh-CN"/>
        </w:rPr>
        <w:t>73,165.53</w:t>
      </w:r>
      <w:r>
        <w:rPr>
          <w:lang w:eastAsia="zh-CN"/>
        </w:rPr>
        <w:t>万元（占</w:t>
      </w:r>
      <w:r>
        <w:rPr>
          <w:lang w:eastAsia="zh-CN"/>
        </w:rPr>
        <w:t>43.65%</w:t>
      </w:r>
      <w:r>
        <w:rPr>
          <w:lang w:eastAsia="zh-CN"/>
        </w:rPr>
        <w:t>），主要来自国内人形机器人需求放量。海外仍是重要市场，外销结算与汇率波动需持续关注。</w:t>
      </w:r>
    </w:p>
    <w:p w14:paraId="01C4FAD0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3  </w:t>
      </w:r>
      <w:r>
        <w:rPr>
          <w:b/>
          <w:sz w:val="21"/>
          <w:lang w:eastAsia="zh-CN"/>
        </w:rPr>
        <w:t>主营业务收入分地区（万元）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361"/>
        <w:gridCol w:w="1134"/>
        <w:gridCol w:w="1361"/>
        <w:gridCol w:w="1134"/>
        <w:gridCol w:w="1361"/>
        <w:gridCol w:w="1134"/>
      </w:tblGrid>
      <w:tr w:rsidR="00CE530A" w14:paraId="314954E4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CD6B681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地区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42474DE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2023A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5A438C0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821D7E5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2024A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564443C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129A75AF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2025A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AA183C7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占比</w:t>
            </w:r>
          </w:p>
        </w:tc>
      </w:tr>
      <w:tr w:rsidR="00CE530A" w14:paraId="4736424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54A825F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境内</w:t>
            </w:r>
          </w:p>
        </w:tc>
        <w:tc>
          <w:tcPr>
            <w:tcW w:w="1361" w:type="dxa"/>
            <w:vAlign w:val="center"/>
          </w:tcPr>
          <w:p w14:paraId="767864A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6,989.41</w:t>
            </w:r>
          </w:p>
        </w:tc>
        <w:tc>
          <w:tcPr>
            <w:tcW w:w="1134" w:type="dxa"/>
            <w:vAlign w:val="center"/>
          </w:tcPr>
          <w:p w14:paraId="03BA5B5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44.37%</w:t>
            </w:r>
          </w:p>
        </w:tc>
        <w:tc>
          <w:tcPr>
            <w:tcW w:w="1361" w:type="dxa"/>
            <w:vAlign w:val="center"/>
          </w:tcPr>
          <w:p w14:paraId="1F4E2DFC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17,116.54</w:t>
            </w:r>
          </w:p>
        </w:tc>
        <w:tc>
          <w:tcPr>
            <w:tcW w:w="1134" w:type="dxa"/>
            <w:vAlign w:val="center"/>
          </w:tcPr>
          <w:p w14:paraId="1546E42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44.20%</w:t>
            </w:r>
          </w:p>
        </w:tc>
        <w:tc>
          <w:tcPr>
            <w:tcW w:w="1361" w:type="dxa"/>
            <w:vAlign w:val="center"/>
          </w:tcPr>
          <w:p w14:paraId="5BAC851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94,445.56</w:t>
            </w:r>
          </w:p>
        </w:tc>
        <w:tc>
          <w:tcPr>
            <w:tcW w:w="1134" w:type="dxa"/>
            <w:vAlign w:val="center"/>
          </w:tcPr>
          <w:p w14:paraId="0479942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56.35%</w:t>
            </w:r>
          </w:p>
        </w:tc>
      </w:tr>
      <w:tr w:rsidR="00CE530A" w14:paraId="0770F8C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798DBDC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境外</w:t>
            </w:r>
          </w:p>
        </w:tc>
        <w:tc>
          <w:tcPr>
            <w:tcW w:w="1361" w:type="dxa"/>
            <w:vAlign w:val="center"/>
          </w:tcPr>
          <w:p w14:paraId="0E37406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8,764.24</w:t>
            </w:r>
          </w:p>
        </w:tc>
        <w:tc>
          <w:tcPr>
            <w:tcW w:w="1134" w:type="dxa"/>
            <w:vAlign w:val="center"/>
          </w:tcPr>
          <w:p w14:paraId="78AE226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55.63%</w:t>
            </w:r>
          </w:p>
        </w:tc>
        <w:tc>
          <w:tcPr>
            <w:tcW w:w="1361" w:type="dxa"/>
            <w:vAlign w:val="center"/>
          </w:tcPr>
          <w:p w14:paraId="4B69CC3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21,610.74</w:t>
            </w:r>
          </w:p>
        </w:tc>
        <w:tc>
          <w:tcPr>
            <w:tcW w:w="1134" w:type="dxa"/>
            <w:vAlign w:val="center"/>
          </w:tcPr>
          <w:p w14:paraId="34CC1FE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55.80%</w:t>
            </w:r>
          </w:p>
        </w:tc>
        <w:tc>
          <w:tcPr>
            <w:tcW w:w="1361" w:type="dxa"/>
            <w:vAlign w:val="center"/>
          </w:tcPr>
          <w:p w14:paraId="15F0335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73,165.53</w:t>
            </w:r>
          </w:p>
        </w:tc>
        <w:tc>
          <w:tcPr>
            <w:tcW w:w="1134" w:type="dxa"/>
            <w:vAlign w:val="center"/>
          </w:tcPr>
          <w:p w14:paraId="3AEF3FD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43.65%</w:t>
            </w:r>
          </w:p>
        </w:tc>
      </w:tr>
    </w:tbl>
    <w:p w14:paraId="140452FE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t>数据来源：招股意向书、招股说明书（底稿</w:t>
      </w:r>
      <w:r>
        <w:rPr>
          <w:color w:val="767676"/>
          <w:sz w:val="18"/>
          <w:lang w:eastAsia="zh-CN"/>
        </w:rPr>
        <w:t>S4/S1</w:t>
      </w:r>
      <w:r>
        <w:rPr>
          <w:color w:val="767676"/>
          <w:sz w:val="18"/>
          <w:lang w:eastAsia="zh-CN"/>
        </w:rPr>
        <w:t>）；</w:t>
      </w:r>
      <w:r>
        <w:rPr>
          <w:color w:val="767676"/>
          <w:sz w:val="18"/>
          <w:lang w:eastAsia="zh-CN"/>
        </w:rPr>
        <w:t>2024</w:t>
      </w:r>
      <w:r>
        <w:rPr>
          <w:color w:val="767676"/>
          <w:sz w:val="18"/>
          <w:lang w:eastAsia="zh-CN"/>
        </w:rPr>
        <w:t>年境内为主营减境外轧差数。</w:t>
      </w:r>
    </w:p>
    <w:p w14:paraId="04F0A14F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1.5  </w:t>
      </w:r>
      <w:r>
        <w:rPr>
          <w:rFonts w:ascii="Arial" w:eastAsia="黑体" w:hAnsi="Arial"/>
          <w:lang w:eastAsia="zh-CN"/>
        </w:rPr>
        <w:t>下游应用场景</w:t>
      </w:r>
    </w:p>
    <w:p w14:paraId="1E690EAC" w14:textId="77777777" w:rsidR="00CE530A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1—9</w:t>
      </w:r>
      <w:r>
        <w:rPr>
          <w:lang w:eastAsia="zh-CN"/>
        </w:rPr>
        <w:t>月（申报稿口径，非全年）结构，人形机器人收入中科研教育占</w:t>
      </w:r>
      <w:r>
        <w:rPr>
          <w:lang w:eastAsia="zh-CN"/>
        </w:rPr>
        <w:t>73.60%</w:t>
      </w:r>
      <w:r>
        <w:rPr>
          <w:lang w:eastAsia="zh-CN"/>
        </w:rPr>
        <w:t>、商业消费占</w:t>
      </w:r>
      <w:r>
        <w:rPr>
          <w:lang w:eastAsia="zh-CN"/>
        </w:rPr>
        <w:t>17.39%</w:t>
      </w:r>
      <w:r>
        <w:rPr>
          <w:lang w:eastAsia="zh-CN"/>
        </w:rPr>
        <w:t>、行业应用仅占</w:t>
      </w:r>
      <w:r>
        <w:rPr>
          <w:lang w:eastAsia="zh-CN"/>
        </w:rPr>
        <w:t>9.01%</w:t>
      </w:r>
      <w:r>
        <w:rPr>
          <w:lang w:eastAsia="zh-CN"/>
        </w:rPr>
        <w:t>，需求仍高度依赖科研教育；四足机器人场景相对均衡，科研教育、商业消费、行业应用分别占</w:t>
      </w:r>
      <w:r>
        <w:rPr>
          <w:lang w:eastAsia="zh-CN"/>
        </w:rPr>
        <w:t>31.58%</w:t>
      </w:r>
      <w:r>
        <w:rPr>
          <w:lang w:eastAsia="zh-CN"/>
        </w:rPr>
        <w:t>、</w:t>
      </w:r>
      <w:r>
        <w:rPr>
          <w:lang w:eastAsia="zh-CN"/>
        </w:rPr>
        <w:t>42.30%</w:t>
      </w:r>
      <w:r>
        <w:rPr>
          <w:lang w:eastAsia="zh-CN"/>
        </w:rPr>
        <w:t>、</w:t>
      </w:r>
      <w:r>
        <w:rPr>
          <w:lang w:eastAsia="zh-CN"/>
        </w:rPr>
        <w:t>26.12%</w:t>
      </w:r>
      <w:r>
        <w:rPr>
          <w:lang w:eastAsia="zh-CN"/>
        </w:rPr>
        <w:t>。人形机器人向工业等行业场景的规模化渗透尚处早期。</w:t>
      </w:r>
    </w:p>
    <w:p w14:paraId="3F648E16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  </w:t>
      </w:r>
      <w:r>
        <w:rPr>
          <w:rFonts w:ascii="Arial" w:eastAsia="黑体" w:hAnsi="Arial"/>
          <w:lang w:eastAsia="zh-CN"/>
        </w:rPr>
        <w:t>收入与盈利变化</w:t>
      </w:r>
    </w:p>
    <w:p w14:paraId="0FABC547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2.1  </w:t>
      </w:r>
      <w:r>
        <w:rPr>
          <w:rFonts w:ascii="Arial" w:eastAsia="黑体" w:hAnsi="Arial"/>
          <w:lang w:eastAsia="zh-CN"/>
        </w:rPr>
        <w:t>高增长与增速换挡</w:t>
      </w:r>
    </w:p>
    <w:p w14:paraId="4BBBDBC1" w14:textId="77777777" w:rsidR="00CE530A" w:rsidRDefault="00000000">
      <w:pPr>
        <w:rPr>
          <w:lang w:eastAsia="zh-CN"/>
        </w:rPr>
      </w:pPr>
      <w:r>
        <w:rPr>
          <w:lang w:eastAsia="zh-CN"/>
        </w:rPr>
        <w:t>2023—2025</w:t>
      </w:r>
      <w:r>
        <w:rPr>
          <w:lang w:eastAsia="zh-CN"/>
        </w:rPr>
        <w:t>年营业收入分别为</w:t>
      </w:r>
      <w:r>
        <w:rPr>
          <w:lang w:eastAsia="zh-CN"/>
        </w:rPr>
        <w:t>15,913.44</w:t>
      </w:r>
      <w:r>
        <w:rPr>
          <w:lang w:eastAsia="zh-CN"/>
        </w:rPr>
        <w:t>万元、</w:t>
      </w:r>
      <w:r>
        <w:rPr>
          <w:lang w:eastAsia="zh-CN"/>
        </w:rPr>
        <w:t>39,277.07</w:t>
      </w:r>
      <w:r>
        <w:rPr>
          <w:lang w:eastAsia="zh-CN"/>
        </w:rPr>
        <w:t>万元、</w:t>
      </w:r>
      <w:r>
        <w:rPr>
          <w:lang w:eastAsia="zh-CN"/>
        </w:rPr>
        <w:t>169,926.93</w:t>
      </w:r>
      <w:r>
        <w:rPr>
          <w:lang w:eastAsia="zh-CN"/>
        </w:rPr>
        <w:t>万元，</w:t>
      </w:r>
      <w:r>
        <w:rPr>
          <w:lang w:eastAsia="zh-CN"/>
        </w:rPr>
        <w:t>2024</w:t>
      </w:r>
      <w:r>
        <w:rPr>
          <w:lang w:eastAsia="zh-CN"/>
        </w:rPr>
        <w:t>、</w:t>
      </w:r>
      <w:r>
        <w:rPr>
          <w:lang w:eastAsia="zh-CN"/>
        </w:rPr>
        <w:t>2025</w:t>
      </w:r>
      <w:r>
        <w:rPr>
          <w:lang w:eastAsia="zh-CN"/>
        </w:rPr>
        <w:t>年同比分别增长</w:t>
      </w:r>
      <w:r>
        <w:rPr>
          <w:lang w:eastAsia="zh-CN"/>
        </w:rPr>
        <w:t>146.82%</w:t>
      </w:r>
      <w:r>
        <w:rPr>
          <w:lang w:eastAsia="zh-CN"/>
        </w:rPr>
        <w:t>、</w:t>
      </w:r>
      <w:r>
        <w:rPr>
          <w:lang w:eastAsia="zh-CN"/>
        </w:rPr>
        <w:t>332.64%</w:t>
      </w:r>
      <w:r>
        <w:rPr>
          <w:lang w:eastAsia="zh-CN"/>
        </w:rPr>
        <w:t>，两年复合增长率约</w:t>
      </w:r>
      <w:r>
        <w:rPr>
          <w:lang w:eastAsia="zh-CN"/>
        </w:rPr>
        <w:t>226.78%</w:t>
      </w:r>
      <w:r>
        <w:rPr>
          <w:lang w:eastAsia="zh-CN"/>
        </w:rPr>
        <w:t>。进入</w:t>
      </w:r>
      <w:r>
        <w:rPr>
          <w:lang w:eastAsia="zh-CN"/>
        </w:rPr>
        <w:t>2026</w:t>
      </w:r>
      <w:r>
        <w:rPr>
          <w:lang w:eastAsia="zh-CN"/>
        </w:rPr>
        <w:t>年后增速明显回落：</w:t>
      </w:r>
      <w:r>
        <w:rPr>
          <w:lang w:eastAsia="zh-CN"/>
        </w:rPr>
        <w:t>2026</w:t>
      </w:r>
      <w:r>
        <w:rPr>
          <w:lang w:eastAsia="zh-CN"/>
        </w:rPr>
        <w:t>年一季度营收同比</w:t>
      </w:r>
      <w:r>
        <w:rPr>
          <w:lang w:eastAsia="zh-CN"/>
        </w:rPr>
        <w:t>+68.49%</w:t>
      </w:r>
      <w:r>
        <w:rPr>
          <w:lang w:eastAsia="zh-CN"/>
        </w:rPr>
        <w:t>，上半年同比</w:t>
      </w:r>
      <w:r>
        <w:rPr>
          <w:lang w:eastAsia="zh-CN"/>
        </w:rPr>
        <w:t>+48.54%</w:t>
      </w:r>
      <w:r>
        <w:rPr>
          <w:lang w:eastAsia="zh-CN"/>
        </w:rPr>
        <w:t>。增速下行主要源于基数抬高，公司亦提及行业热度缓和与竞争加剧，高斜率增长阶段正在向中高速过渡。</w:t>
      </w:r>
    </w:p>
    <w:p w14:paraId="00EA6657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4  </w:t>
      </w:r>
      <w:r>
        <w:rPr>
          <w:b/>
          <w:sz w:val="21"/>
          <w:lang w:eastAsia="zh-CN"/>
        </w:rPr>
        <w:t>核心经营与财务指标（万元，比率除外）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CE530A" w14:paraId="3DE9A6E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B64C84F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655B17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2023A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F643EDF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2024A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3CCCFB9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2025A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349B677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2026H1A</w:t>
            </w:r>
          </w:p>
        </w:tc>
      </w:tr>
      <w:tr w:rsidR="00CE530A" w14:paraId="4B40E6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5DF0A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营业收入</w:t>
            </w:r>
          </w:p>
        </w:tc>
        <w:tc>
          <w:tcPr>
            <w:tcW w:w="1701" w:type="dxa"/>
            <w:vAlign w:val="center"/>
          </w:tcPr>
          <w:p w14:paraId="273A66A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15,913.44</w:t>
            </w:r>
          </w:p>
        </w:tc>
        <w:tc>
          <w:tcPr>
            <w:tcW w:w="1701" w:type="dxa"/>
            <w:vAlign w:val="center"/>
          </w:tcPr>
          <w:p w14:paraId="06814E0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39,277.07</w:t>
            </w:r>
          </w:p>
        </w:tc>
        <w:tc>
          <w:tcPr>
            <w:tcW w:w="1701" w:type="dxa"/>
            <w:vAlign w:val="center"/>
          </w:tcPr>
          <w:p w14:paraId="299BBE0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169,926.93</w:t>
            </w:r>
          </w:p>
        </w:tc>
        <w:tc>
          <w:tcPr>
            <w:tcW w:w="1701" w:type="dxa"/>
            <w:vAlign w:val="center"/>
          </w:tcPr>
          <w:p w14:paraId="56D52D8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115,224.56</w:t>
            </w:r>
          </w:p>
        </w:tc>
      </w:tr>
      <w:tr w:rsidR="00CE530A" w14:paraId="13795C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DDF84E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营业收入同比</w:t>
            </w:r>
          </w:p>
        </w:tc>
        <w:tc>
          <w:tcPr>
            <w:tcW w:w="1701" w:type="dxa"/>
            <w:vAlign w:val="center"/>
          </w:tcPr>
          <w:p w14:paraId="458B751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1216F7E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146.82%</w:t>
            </w:r>
          </w:p>
        </w:tc>
        <w:tc>
          <w:tcPr>
            <w:tcW w:w="1701" w:type="dxa"/>
            <w:vAlign w:val="center"/>
          </w:tcPr>
          <w:p w14:paraId="16301908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332.64%</w:t>
            </w:r>
          </w:p>
        </w:tc>
        <w:tc>
          <w:tcPr>
            <w:tcW w:w="1701" w:type="dxa"/>
            <w:vAlign w:val="center"/>
          </w:tcPr>
          <w:p w14:paraId="4E3CF46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48.54%</w:t>
            </w:r>
          </w:p>
        </w:tc>
      </w:tr>
      <w:tr w:rsidR="00CE530A" w14:paraId="34D518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D6CEFD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归母净利润</w:t>
            </w:r>
          </w:p>
        </w:tc>
        <w:tc>
          <w:tcPr>
            <w:tcW w:w="1701" w:type="dxa"/>
            <w:vAlign w:val="center"/>
          </w:tcPr>
          <w:p w14:paraId="18CF91A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-1,114.51</w:t>
            </w:r>
          </w:p>
        </w:tc>
        <w:tc>
          <w:tcPr>
            <w:tcW w:w="1701" w:type="dxa"/>
            <w:vAlign w:val="center"/>
          </w:tcPr>
          <w:p w14:paraId="6E13BA6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9,547.47</w:t>
            </w:r>
          </w:p>
        </w:tc>
        <w:tc>
          <w:tcPr>
            <w:tcW w:w="1701" w:type="dxa"/>
            <w:vAlign w:val="center"/>
          </w:tcPr>
          <w:p w14:paraId="05E2587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27,821.05</w:t>
            </w:r>
          </w:p>
        </w:tc>
        <w:tc>
          <w:tcPr>
            <w:tcW w:w="1701" w:type="dxa"/>
            <w:vAlign w:val="center"/>
          </w:tcPr>
          <w:p w14:paraId="5767668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27,399.99</w:t>
            </w:r>
          </w:p>
        </w:tc>
      </w:tr>
      <w:tr w:rsidR="00CE530A" w14:paraId="6420BA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187BBF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扣非后归母净利润</w:t>
            </w:r>
          </w:p>
        </w:tc>
        <w:tc>
          <w:tcPr>
            <w:tcW w:w="1701" w:type="dxa"/>
            <w:vAlign w:val="center"/>
          </w:tcPr>
          <w:p w14:paraId="3C504B8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-1,801.91</w:t>
            </w:r>
          </w:p>
        </w:tc>
        <w:tc>
          <w:tcPr>
            <w:tcW w:w="1701" w:type="dxa"/>
            <w:vAlign w:val="center"/>
          </w:tcPr>
          <w:p w14:paraId="6F6DEDD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7,847.65</w:t>
            </w:r>
          </w:p>
        </w:tc>
        <w:tc>
          <w:tcPr>
            <w:tcW w:w="1701" w:type="dxa"/>
            <w:vAlign w:val="center"/>
          </w:tcPr>
          <w:p w14:paraId="6749C6E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59,075.28</w:t>
            </w:r>
          </w:p>
        </w:tc>
        <w:tc>
          <w:tcPr>
            <w:tcW w:w="1701" w:type="dxa"/>
            <w:vAlign w:val="center"/>
          </w:tcPr>
          <w:p w14:paraId="1460E43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24,393.03</w:t>
            </w:r>
          </w:p>
        </w:tc>
      </w:tr>
      <w:tr w:rsidR="00CE530A" w14:paraId="279B9A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ACE3A2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主营业务毛利率</w:t>
            </w:r>
          </w:p>
        </w:tc>
        <w:tc>
          <w:tcPr>
            <w:tcW w:w="1701" w:type="dxa"/>
            <w:vAlign w:val="center"/>
          </w:tcPr>
          <w:p w14:paraId="41A59EA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44.22%</w:t>
            </w:r>
          </w:p>
        </w:tc>
        <w:tc>
          <w:tcPr>
            <w:tcW w:w="1701" w:type="dxa"/>
            <w:vAlign w:val="center"/>
          </w:tcPr>
          <w:p w14:paraId="09C486F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56.74%</w:t>
            </w:r>
          </w:p>
        </w:tc>
        <w:tc>
          <w:tcPr>
            <w:tcW w:w="1701" w:type="dxa"/>
            <w:vAlign w:val="center"/>
          </w:tcPr>
          <w:p w14:paraId="5379CBA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60.13%</w:t>
            </w:r>
          </w:p>
        </w:tc>
        <w:tc>
          <w:tcPr>
            <w:tcW w:w="1701" w:type="dxa"/>
            <w:vAlign w:val="center"/>
          </w:tcPr>
          <w:p w14:paraId="02879CE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56.01%</w:t>
            </w:r>
          </w:p>
        </w:tc>
      </w:tr>
      <w:tr w:rsidR="00CE530A" w14:paraId="412D21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83AE2C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销售净利率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归母</w:t>
            </w:r>
            <w:r>
              <w:rPr>
                <w:sz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31BD8DE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-7.00%</w:t>
            </w:r>
          </w:p>
        </w:tc>
        <w:tc>
          <w:tcPr>
            <w:tcW w:w="1701" w:type="dxa"/>
            <w:vAlign w:val="center"/>
          </w:tcPr>
          <w:p w14:paraId="4FF9881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24.31%</w:t>
            </w:r>
          </w:p>
        </w:tc>
        <w:tc>
          <w:tcPr>
            <w:tcW w:w="1701" w:type="dxa"/>
            <w:vAlign w:val="center"/>
          </w:tcPr>
          <w:p w14:paraId="32E5FA6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16.37%</w:t>
            </w:r>
          </w:p>
        </w:tc>
        <w:tc>
          <w:tcPr>
            <w:tcW w:w="1701" w:type="dxa"/>
            <w:vAlign w:val="center"/>
          </w:tcPr>
          <w:p w14:paraId="3BC2F49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</w:tr>
      <w:tr w:rsidR="00CE530A" w14:paraId="4BE86D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62D9B6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扣非净利率</w:t>
            </w:r>
          </w:p>
        </w:tc>
        <w:tc>
          <w:tcPr>
            <w:tcW w:w="1701" w:type="dxa"/>
            <w:vAlign w:val="center"/>
          </w:tcPr>
          <w:p w14:paraId="1A47266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-11.32%</w:t>
            </w:r>
          </w:p>
        </w:tc>
        <w:tc>
          <w:tcPr>
            <w:tcW w:w="1701" w:type="dxa"/>
            <w:vAlign w:val="center"/>
          </w:tcPr>
          <w:p w14:paraId="3699576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19.98%</w:t>
            </w:r>
          </w:p>
        </w:tc>
        <w:tc>
          <w:tcPr>
            <w:tcW w:w="1701" w:type="dxa"/>
            <w:vAlign w:val="center"/>
          </w:tcPr>
          <w:p w14:paraId="33BAA1F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34.77%</w:t>
            </w:r>
          </w:p>
        </w:tc>
        <w:tc>
          <w:tcPr>
            <w:tcW w:w="1701" w:type="dxa"/>
            <w:vAlign w:val="center"/>
          </w:tcPr>
          <w:p w14:paraId="19E39C1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</w:tr>
      <w:tr w:rsidR="00CE530A" w14:paraId="353E00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BBFD71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扣非加权</w:t>
            </w:r>
            <w:r>
              <w:rPr>
                <w:sz w:val="21"/>
              </w:rPr>
              <w:t>ROE</w:t>
            </w:r>
          </w:p>
        </w:tc>
        <w:tc>
          <w:tcPr>
            <w:tcW w:w="1701" w:type="dxa"/>
            <w:vAlign w:val="center"/>
          </w:tcPr>
          <w:p w14:paraId="7CF6AD0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-5.92%</w:t>
            </w:r>
          </w:p>
        </w:tc>
        <w:tc>
          <w:tcPr>
            <w:tcW w:w="1701" w:type="dxa"/>
            <w:vAlign w:val="center"/>
          </w:tcPr>
          <w:p w14:paraId="1E5871E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8.60%</w:t>
            </w:r>
          </w:p>
        </w:tc>
        <w:tc>
          <w:tcPr>
            <w:tcW w:w="1701" w:type="dxa"/>
            <w:vAlign w:val="center"/>
          </w:tcPr>
          <w:p w14:paraId="4216AA1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28.70%</w:t>
            </w:r>
          </w:p>
        </w:tc>
        <w:tc>
          <w:tcPr>
            <w:tcW w:w="1701" w:type="dxa"/>
            <w:vAlign w:val="center"/>
          </w:tcPr>
          <w:p w14:paraId="7A8757B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9.99%</w:t>
            </w:r>
          </w:p>
        </w:tc>
      </w:tr>
      <w:tr w:rsidR="00CE530A" w14:paraId="50C73C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AF6872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经营现金流净额</w:t>
            </w:r>
          </w:p>
        </w:tc>
        <w:tc>
          <w:tcPr>
            <w:tcW w:w="1701" w:type="dxa"/>
            <w:vAlign w:val="center"/>
          </w:tcPr>
          <w:p w14:paraId="324694B6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494.25</w:t>
            </w:r>
          </w:p>
        </w:tc>
        <w:tc>
          <w:tcPr>
            <w:tcW w:w="1701" w:type="dxa"/>
            <w:vAlign w:val="center"/>
          </w:tcPr>
          <w:p w14:paraId="58C3E5E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19,239.13</w:t>
            </w:r>
          </w:p>
        </w:tc>
        <w:tc>
          <w:tcPr>
            <w:tcW w:w="1701" w:type="dxa"/>
            <w:vAlign w:val="center"/>
          </w:tcPr>
          <w:p w14:paraId="6E57BC5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66,998.18</w:t>
            </w:r>
          </w:p>
        </w:tc>
        <w:tc>
          <w:tcPr>
            <w:tcW w:w="1701" w:type="dxa"/>
            <w:vAlign w:val="center"/>
          </w:tcPr>
          <w:p w14:paraId="36E02A6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23,154.53</w:t>
            </w:r>
          </w:p>
        </w:tc>
      </w:tr>
      <w:tr w:rsidR="00CE530A" w14:paraId="44CC9F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71BC30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资产总额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期末</w:t>
            </w:r>
            <w:r>
              <w:rPr>
                <w:sz w:val="21"/>
              </w:rPr>
              <w:t>)</w:t>
            </w:r>
          </w:p>
        </w:tc>
        <w:tc>
          <w:tcPr>
            <w:tcW w:w="1701" w:type="dxa"/>
            <w:vAlign w:val="center"/>
          </w:tcPr>
          <w:p w14:paraId="544D204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39,127.15</w:t>
            </w:r>
          </w:p>
        </w:tc>
        <w:tc>
          <w:tcPr>
            <w:tcW w:w="1701" w:type="dxa"/>
            <w:vAlign w:val="center"/>
          </w:tcPr>
          <w:p w14:paraId="2DDC2F6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152,786.94</w:t>
            </w:r>
          </w:p>
        </w:tc>
        <w:tc>
          <w:tcPr>
            <w:tcW w:w="1701" w:type="dxa"/>
            <w:vAlign w:val="center"/>
          </w:tcPr>
          <w:p w14:paraId="7312E2D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320,853.83</w:t>
            </w:r>
          </w:p>
        </w:tc>
        <w:tc>
          <w:tcPr>
            <w:tcW w:w="1701" w:type="dxa"/>
            <w:vAlign w:val="center"/>
          </w:tcPr>
          <w:p w14:paraId="36967328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384,546.94</w:t>
            </w:r>
          </w:p>
        </w:tc>
      </w:tr>
      <w:tr w:rsidR="00CE530A" w14:paraId="0B6F99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1C1068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合并资产负债率</w:t>
            </w:r>
          </w:p>
        </w:tc>
        <w:tc>
          <w:tcPr>
            <w:tcW w:w="1701" w:type="dxa"/>
            <w:vAlign w:val="center"/>
          </w:tcPr>
          <w:p w14:paraId="44AE4CC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23.57%</w:t>
            </w:r>
          </w:p>
        </w:tc>
        <w:tc>
          <w:tcPr>
            <w:tcW w:w="1701" w:type="dxa"/>
            <w:vAlign w:val="center"/>
          </w:tcPr>
          <w:p w14:paraId="6DC571B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16.19%</w:t>
            </w:r>
          </w:p>
        </w:tc>
        <w:tc>
          <w:tcPr>
            <w:tcW w:w="1701" w:type="dxa"/>
            <w:vAlign w:val="center"/>
          </w:tcPr>
          <w:p w14:paraId="4AA99057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18.82%</w:t>
            </w:r>
          </w:p>
        </w:tc>
        <w:tc>
          <w:tcPr>
            <w:tcW w:w="1701" w:type="dxa"/>
            <w:vAlign w:val="center"/>
          </w:tcPr>
          <w:p w14:paraId="66133F48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25.11%</w:t>
            </w:r>
          </w:p>
        </w:tc>
      </w:tr>
    </w:tbl>
    <w:p w14:paraId="5366761B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lastRenderedPageBreak/>
        <w:t>数据来源：上市保荐书（注册稿）、落实函回复、上市公告书（底稿</w:t>
      </w:r>
      <w:r>
        <w:rPr>
          <w:color w:val="767676"/>
          <w:sz w:val="18"/>
          <w:lang w:eastAsia="zh-CN"/>
        </w:rPr>
        <w:t>S2/S3/S5</w:t>
      </w:r>
      <w:r>
        <w:rPr>
          <w:color w:val="767676"/>
          <w:sz w:val="18"/>
          <w:lang w:eastAsia="zh-CN"/>
        </w:rPr>
        <w:t>）；比率由原值现算并与披露值核对。</w:t>
      </w:r>
      <w:r>
        <w:rPr>
          <w:color w:val="767676"/>
          <w:sz w:val="18"/>
          <w:lang w:eastAsia="zh-CN"/>
        </w:rPr>
        <w:t>2026H1</w:t>
      </w:r>
      <w:r>
        <w:rPr>
          <w:color w:val="767676"/>
          <w:sz w:val="18"/>
          <w:lang w:eastAsia="zh-CN"/>
        </w:rPr>
        <w:t>为上市公告书披露、未经审计；</w:t>
      </w:r>
      <w:r>
        <w:rPr>
          <w:color w:val="767676"/>
          <w:sz w:val="18"/>
          <w:lang w:eastAsia="zh-CN"/>
        </w:rPr>
        <w:t>2025</w:t>
      </w:r>
      <w:r>
        <w:rPr>
          <w:color w:val="767676"/>
          <w:sz w:val="18"/>
          <w:lang w:eastAsia="zh-CN"/>
        </w:rPr>
        <w:t>年基本每股收益</w:t>
      </w:r>
      <w:r>
        <w:rPr>
          <w:color w:val="767676"/>
          <w:sz w:val="18"/>
          <w:lang w:eastAsia="zh-CN"/>
        </w:rPr>
        <w:t>0.76</w:t>
      </w:r>
      <w:r>
        <w:rPr>
          <w:color w:val="767676"/>
          <w:sz w:val="18"/>
          <w:lang w:eastAsia="zh-CN"/>
        </w:rPr>
        <w:t>元。</w:t>
      </w:r>
    </w:p>
    <w:p w14:paraId="1CCDCCDE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2.2  </w:t>
      </w:r>
      <w:r>
        <w:rPr>
          <w:rFonts w:ascii="Arial" w:eastAsia="黑体" w:hAnsi="Arial"/>
          <w:lang w:eastAsia="zh-CN"/>
        </w:rPr>
        <w:t>盈利质量：扣非强、归母受股份支付扰动</w:t>
      </w:r>
    </w:p>
    <w:p w14:paraId="1E391912" w14:textId="77777777" w:rsidR="00CE530A" w:rsidRDefault="00000000">
      <w:pPr>
        <w:rPr>
          <w:lang w:eastAsia="zh-CN"/>
        </w:rPr>
      </w:pPr>
      <w:r>
        <w:rPr>
          <w:lang w:eastAsia="zh-CN"/>
        </w:rPr>
        <w:t>盈利能力快速改善：主营业务毛利率由</w:t>
      </w:r>
      <w:r>
        <w:rPr>
          <w:lang w:eastAsia="zh-CN"/>
        </w:rPr>
        <w:t>44.22%</w:t>
      </w:r>
      <w:r>
        <w:rPr>
          <w:lang w:eastAsia="zh-CN"/>
        </w:rPr>
        <w:t>升至</w:t>
      </w:r>
      <w:r>
        <w:rPr>
          <w:lang w:eastAsia="zh-CN"/>
        </w:rPr>
        <w:t>56.74%</w:t>
      </w:r>
      <w:r>
        <w:rPr>
          <w:lang w:eastAsia="zh-CN"/>
        </w:rPr>
        <w:t>、再到</w:t>
      </w:r>
      <w:r>
        <w:rPr>
          <w:lang w:eastAsia="zh-CN"/>
        </w:rPr>
        <w:t>60.13%</w:t>
      </w:r>
      <w:r>
        <w:rPr>
          <w:lang w:eastAsia="zh-CN"/>
        </w:rPr>
        <w:t>，主要依托全栈自研与核心零部件自产；</w:t>
      </w:r>
      <w:r>
        <w:rPr>
          <w:lang w:eastAsia="zh-CN"/>
        </w:rPr>
        <w:t>2024</w:t>
      </w:r>
      <w:r>
        <w:rPr>
          <w:lang w:eastAsia="zh-CN"/>
        </w:rPr>
        <w:t>年实现扭亏，</w:t>
      </w:r>
      <w:r>
        <w:rPr>
          <w:lang w:eastAsia="zh-CN"/>
        </w:rPr>
        <w:t>2025</w:t>
      </w:r>
      <w:r>
        <w:rPr>
          <w:lang w:eastAsia="zh-CN"/>
        </w:rPr>
        <w:t>年扣非后归母净利润</w:t>
      </w:r>
      <w:r>
        <w:rPr>
          <w:lang w:eastAsia="zh-CN"/>
        </w:rPr>
        <w:t>59,075.28</w:t>
      </w:r>
      <w:r>
        <w:rPr>
          <w:lang w:eastAsia="zh-CN"/>
        </w:rPr>
        <w:t>万元、扣非净利率约</w:t>
      </w:r>
      <w:r>
        <w:rPr>
          <w:lang w:eastAsia="zh-CN"/>
        </w:rPr>
        <w:t>34.77%</w:t>
      </w:r>
      <w:r>
        <w:rPr>
          <w:lang w:eastAsia="zh-CN"/>
        </w:rPr>
        <w:t>，扣非加权平均净资产收益率</w:t>
      </w:r>
      <w:r>
        <w:rPr>
          <w:lang w:eastAsia="zh-CN"/>
        </w:rPr>
        <w:t>28.70%</w:t>
      </w:r>
      <w:r>
        <w:rPr>
          <w:lang w:eastAsia="zh-CN"/>
        </w:rPr>
        <w:t>。但</w:t>
      </w:r>
      <w:r>
        <w:rPr>
          <w:lang w:eastAsia="zh-CN"/>
        </w:rPr>
        <w:t>2025</w:t>
      </w:r>
      <w:r>
        <w:rPr>
          <w:lang w:eastAsia="zh-CN"/>
        </w:rPr>
        <w:t>年归母净利润仅</w:t>
      </w:r>
      <w:r>
        <w:rPr>
          <w:lang w:eastAsia="zh-CN"/>
        </w:rPr>
        <w:t>27,821.05</w:t>
      </w:r>
      <w:r>
        <w:rPr>
          <w:lang w:eastAsia="zh-CN"/>
        </w:rPr>
        <w:t>万元，低于扣非数</w:t>
      </w:r>
      <w:r>
        <w:rPr>
          <w:lang w:eastAsia="zh-CN"/>
        </w:rPr>
        <w:t>31,254.23</w:t>
      </w:r>
      <w:r>
        <w:rPr>
          <w:lang w:eastAsia="zh-CN"/>
        </w:rPr>
        <w:t>万元，差额为非经常性净损失，主要系股权激励形成的股份支付费用。因此，评估公司经常性盈利能力应以扣非口径为主，归母口径会被一次性</w:t>
      </w:r>
      <w:r>
        <w:rPr>
          <w:lang w:eastAsia="zh-CN"/>
        </w:rPr>
        <w:t>/</w:t>
      </w:r>
      <w:r>
        <w:rPr>
          <w:lang w:eastAsia="zh-CN"/>
        </w:rPr>
        <w:t>非经常项目扰动。</w:t>
      </w:r>
    </w:p>
    <w:p w14:paraId="0F8398C4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>2.3  2026</w:t>
      </w:r>
      <w:r>
        <w:rPr>
          <w:rFonts w:ascii="Arial" w:eastAsia="黑体" w:hAnsi="Arial"/>
          <w:lang w:eastAsia="zh-CN"/>
        </w:rPr>
        <w:t>年上半年：收入增长、扣非承压，预测与实际分列</w:t>
      </w:r>
    </w:p>
    <w:p w14:paraId="468846C8" w14:textId="77777777" w:rsidR="00CE530A" w:rsidRDefault="00000000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年上半年公司实现营业收入</w:t>
      </w:r>
      <w:r>
        <w:rPr>
          <w:lang w:eastAsia="zh-CN"/>
        </w:rPr>
        <w:t>115,224.56</w:t>
      </w:r>
      <w:r>
        <w:rPr>
          <w:lang w:eastAsia="zh-CN"/>
        </w:rPr>
        <w:t>万元、归母净利润</w:t>
      </w:r>
      <w:r>
        <w:rPr>
          <w:lang w:eastAsia="zh-CN"/>
        </w:rPr>
        <w:t>27,399.99</w:t>
      </w:r>
      <w:r>
        <w:rPr>
          <w:lang w:eastAsia="zh-CN"/>
        </w:rPr>
        <w:t>万元（上年同期为</w:t>
      </w:r>
      <w:r>
        <w:rPr>
          <w:lang w:eastAsia="zh-CN"/>
        </w:rPr>
        <w:t>-3,202.45</w:t>
      </w:r>
      <w:r>
        <w:rPr>
          <w:lang w:eastAsia="zh-CN"/>
        </w:rPr>
        <w:t>万元、同比扭亏，低基数中包含上年同期约</w:t>
      </w:r>
      <w:r>
        <w:rPr>
          <w:lang w:eastAsia="zh-CN"/>
        </w:rPr>
        <w:t>3.49</w:t>
      </w:r>
      <w:r>
        <w:rPr>
          <w:lang w:eastAsia="zh-CN"/>
        </w:rPr>
        <w:t>亿元股份支付费用）；扣非后归母净利润</w:t>
      </w:r>
      <w:r>
        <w:rPr>
          <w:lang w:eastAsia="zh-CN"/>
        </w:rPr>
        <w:t>24,393.03</w:t>
      </w:r>
      <w:r>
        <w:rPr>
          <w:lang w:eastAsia="zh-CN"/>
        </w:rPr>
        <w:t>万元、同比下降</w:t>
      </w:r>
      <w:r>
        <w:rPr>
          <w:lang w:eastAsia="zh-CN"/>
        </w:rPr>
        <w:t>19.34%</w:t>
      </w:r>
      <w:r>
        <w:rPr>
          <w:lang w:eastAsia="zh-CN"/>
        </w:rPr>
        <w:t>（</w:t>
      </w:r>
      <w:r>
        <w:rPr>
          <w:lang w:eastAsia="zh-CN"/>
        </w:rPr>
        <w:t>2026</w:t>
      </w:r>
      <w:r>
        <w:rPr>
          <w:lang w:eastAsia="zh-CN"/>
        </w:rPr>
        <w:t>年一季度扣非同比</w:t>
      </w:r>
      <w:r>
        <w:rPr>
          <w:lang w:eastAsia="zh-CN"/>
        </w:rPr>
        <w:t>-52.55%</w:t>
      </w:r>
      <w:r>
        <w:rPr>
          <w:lang w:eastAsia="zh-CN"/>
        </w:rPr>
        <w:t>）。扣非下滑主要源于研发费用（上半年同比增加约</w:t>
      </w:r>
      <w:r>
        <w:rPr>
          <w:lang w:eastAsia="zh-CN"/>
        </w:rPr>
        <w:t>8,203.74</w:t>
      </w:r>
      <w:r>
        <w:rPr>
          <w:lang w:eastAsia="zh-CN"/>
        </w:rPr>
        <w:t>万元）与销售费用（上半年</w:t>
      </w:r>
      <w:r>
        <w:rPr>
          <w:lang w:eastAsia="zh-CN"/>
        </w:rPr>
        <w:t>16,407.27</w:t>
      </w:r>
      <w:r>
        <w:rPr>
          <w:lang w:eastAsia="zh-CN"/>
        </w:rPr>
        <w:t>万元，含品牌推广与销售扩编）快速扩张。</w:t>
      </w:r>
    </w:p>
    <w:p w14:paraId="75104D9B" w14:textId="77777777" w:rsidR="00CE530A" w:rsidRDefault="00000000">
      <w:pPr>
        <w:rPr>
          <w:lang w:eastAsia="zh-CN"/>
        </w:rPr>
      </w:pPr>
      <w:r>
        <w:rPr>
          <w:lang w:eastAsia="zh-CN"/>
        </w:rPr>
        <w:t>公司曾于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月（上会稿）披露</w:t>
      </w:r>
      <w:r>
        <w:rPr>
          <w:lang w:eastAsia="zh-CN"/>
        </w:rPr>
        <w:t>2026</w:t>
      </w:r>
      <w:r>
        <w:rPr>
          <w:lang w:eastAsia="zh-CN"/>
        </w:rPr>
        <w:t>年上半年业绩预告（预测，</w:t>
      </w:r>
      <w:r>
        <w:rPr>
          <w:lang w:eastAsia="zh-CN"/>
        </w:rPr>
        <w:t>E</w:t>
      </w:r>
      <w:r>
        <w:rPr>
          <w:lang w:eastAsia="zh-CN"/>
        </w:rPr>
        <w:t>）：营业收入</w:t>
      </w:r>
      <w:r>
        <w:rPr>
          <w:lang w:eastAsia="zh-CN"/>
        </w:rPr>
        <w:t>105,200</w:t>
      </w:r>
      <w:r>
        <w:rPr>
          <w:lang w:eastAsia="zh-CN"/>
        </w:rPr>
        <w:t>万</w:t>
      </w:r>
      <w:r>
        <w:rPr>
          <w:lang w:eastAsia="zh-CN"/>
        </w:rPr>
        <w:t>—112,800</w:t>
      </w:r>
      <w:r>
        <w:rPr>
          <w:lang w:eastAsia="zh-CN"/>
        </w:rPr>
        <w:t>万元、归母净利润</w:t>
      </w:r>
      <w:r>
        <w:rPr>
          <w:lang w:eastAsia="zh-CN"/>
        </w:rPr>
        <w:t>25,800</w:t>
      </w:r>
      <w:r>
        <w:rPr>
          <w:lang w:eastAsia="zh-CN"/>
        </w:rPr>
        <w:t>万</w:t>
      </w:r>
      <w:r>
        <w:rPr>
          <w:lang w:eastAsia="zh-CN"/>
        </w:rPr>
        <w:t>—30,600</w:t>
      </w:r>
      <w:r>
        <w:rPr>
          <w:lang w:eastAsia="zh-CN"/>
        </w:rPr>
        <w:t>万元、扣非</w:t>
      </w:r>
      <w:r>
        <w:rPr>
          <w:lang w:eastAsia="zh-CN"/>
        </w:rPr>
        <w:t>23,600</w:t>
      </w:r>
      <w:r>
        <w:rPr>
          <w:lang w:eastAsia="zh-CN"/>
        </w:rPr>
        <w:t>万</w:t>
      </w:r>
      <w:r>
        <w:rPr>
          <w:lang w:eastAsia="zh-CN"/>
        </w:rPr>
        <w:t>—28,300</w:t>
      </w:r>
      <w:r>
        <w:rPr>
          <w:lang w:eastAsia="zh-CN"/>
        </w:rPr>
        <w:t>万元。对照上市公告书实际数（</w:t>
      </w:r>
      <w:r>
        <w:rPr>
          <w:lang w:eastAsia="zh-CN"/>
        </w:rPr>
        <w:t>A</w:t>
      </w:r>
      <w:r>
        <w:rPr>
          <w:lang w:eastAsia="zh-CN"/>
        </w:rPr>
        <w:t>）：实际营收略高于预测上限，归母、扣非均落在预测区间内。预测仅作参照，不应当作既成事实。</w:t>
      </w:r>
    </w:p>
    <w:p w14:paraId="0D7E232E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>5  2026</w:t>
      </w:r>
      <w:r>
        <w:rPr>
          <w:b/>
          <w:sz w:val="21"/>
          <w:lang w:eastAsia="zh-CN"/>
        </w:rPr>
        <w:t>年上半年业绩预告（</w:t>
      </w:r>
      <w:r>
        <w:rPr>
          <w:b/>
          <w:sz w:val="21"/>
          <w:lang w:eastAsia="zh-CN"/>
        </w:rPr>
        <w:t>E</w:t>
      </w:r>
      <w:r>
        <w:rPr>
          <w:b/>
          <w:sz w:val="21"/>
          <w:lang w:eastAsia="zh-CN"/>
        </w:rPr>
        <w:t>，预测）与实际（</w:t>
      </w:r>
      <w:r>
        <w:rPr>
          <w:b/>
          <w:sz w:val="21"/>
          <w:lang w:eastAsia="zh-CN"/>
        </w:rPr>
        <w:t>A</w:t>
      </w:r>
      <w:r>
        <w:rPr>
          <w:b/>
          <w:sz w:val="21"/>
          <w:lang w:eastAsia="zh-CN"/>
        </w:rPr>
        <w:t>）对照（万元）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1701"/>
        <w:gridCol w:w="1701"/>
        <w:gridCol w:w="1928"/>
      </w:tblGrid>
      <w:tr w:rsidR="00CE530A" w14:paraId="26CA2146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3B185688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FBC6970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预测下限</w:t>
            </w:r>
            <w:r>
              <w:rPr>
                <w:b/>
                <w:sz w:val="21"/>
              </w:rPr>
              <w:t>(E)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A25B2D8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预测上限</w:t>
            </w:r>
            <w:r>
              <w:rPr>
                <w:b/>
                <w:sz w:val="21"/>
              </w:rPr>
              <w:t>(E)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34AFB69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实际</w:t>
            </w:r>
            <w:r>
              <w:rPr>
                <w:b/>
                <w:sz w:val="21"/>
              </w:rPr>
              <w:t>(A)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E9BB70C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对照结论</w:t>
            </w:r>
          </w:p>
        </w:tc>
      </w:tr>
      <w:tr w:rsidR="00CE530A" w14:paraId="0F1D766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6B5312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营业收入</w:t>
            </w:r>
          </w:p>
        </w:tc>
        <w:tc>
          <w:tcPr>
            <w:tcW w:w="1701" w:type="dxa"/>
            <w:vAlign w:val="center"/>
          </w:tcPr>
          <w:p w14:paraId="375EAECF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105,200.00</w:t>
            </w:r>
          </w:p>
        </w:tc>
        <w:tc>
          <w:tcPr>
            <w:tcW w:w="1701" w:type="dxa"/>
            <w:vAlign w:val="center"/>
          </w:tcPr>
          <w:p w14:paraId="466509C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112,800.00</w:t>
            </w:r>
          </w:p>
        </w:tc>
        <w:tc>
          <w:tcPr>
            <w:tcW w:w="1701" w:type="dxa"/>
            <w:vAlign w:val="center"/>
          </w:tcPr>
          <w:p w14:paraId="2D35C5B4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115,224.56</w:t>
            </w:r>
          </w:p>
        </w:tc>
        <w:tc>
          <w:tcPr>
            <w:tcW w:w="1928" w:type="dxa"/>
            <w:vAlign w:val="center"/>
          </w:tcPr>
          <w:p w14:paraId="02EE6821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略超上限</w:t>
            </w:r>
          </w:p>
        </w:tc>
      </w:tr>
      <w:tr w:rsidR="00CE530A" w14:paraId="6E4A51B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8535083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归母净利润</w:t>
            </w:r>
          </w:p>
        </w:tc>
        <w:tc>
          <w:tcPr>
            <w:tcW w:w="1701" w:type="dxa"/>
            <w:vAlign w:val="center"/>
          </w:tcPr>
          <w:p w14:paraId="2F44AA4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25,800.00</w:t>
            </w:r>
          </w:p>
        </w:tc>
        <w:tc>
          <w:tcPr>
            <w:tcW w:w="1701" w:type="dxa"/>
            <w:vAlign w:val="center"/>
          </w:tcPr>
          <w:p w14:paraId="7846176C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30,600.00</w:t>
            </w:r>
          </w:p>
        </w:tc>
        <w:tc>
          <w:tcPr>
            <w:tcW w:w="1701" w:type="dxa"/>
            <w:vAlign w:val="center"/>
          </w:tcPr>
          <w:p w14:paraId="33FD871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27,399.99</w:t>
            </w:r>
          </w:p>
        </w:tc>
        <w:tc>
          <w:tcPr>
            <w:tcW w:w="1928" w:type="dxa"/>
            <w:vAlign w:val="center"/>
          </w:tcPr>
          <w:p w14:paraId="2033622E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落在区间内</w:t>
            </w:r>
          </w:p>
        </w:tc>
      </w:tr>
      <w:tr w:rsidR="00CE530A" w14:paraId="7C8CA73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42E56AA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扣非归母净利润</w:t>
            </w:r>
          </w:p>
        </w:tc>
        <w:tc>
          <w:tcPr>
            <w:tcW w:w="1701" w:type="dxa"/>
            <w:vAlign w:val="center"/>
          </w:tcPr>
          <w:p w14:paraId="70BF889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23,600.00</w:t>
            </w:r>
          </w:p>
        </w:tc>
        <w:tc>
          <w:tcPr>
            <w:tcW w:w="1701" w:type="dxa"/>
            <w:vAlign w:val="center"/>
          </w:tcPr>
          <w:p w14:paraId="7EE87BC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28,300.00</w:t>
            </w:r>
          </w:p>
        </w:tc>
        <w:tc>
          <w:tcPr>
            <w:tcW w:w="1701" w:type="dxa"/>
            <w:vAlign w:val="center"/>
          </w:tcPr>
          <w:p w14:paraId="37E13020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24,393.03</w:t>
            </w:r>
          </w:p>
        </w:tc>
        <w:tc>
          <w:tcPr>
            <w:tcW w:w="1928" w:type="dxa"/>
            <w:vAlign w:val="center"/>
          </w:tcPr>
          <w:p w14:paraId="55000355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落在区间内</w:t>
            </w:r>
          </w:p>
        </w:tc>
      </w:tr>
    </w:tbl>
    <w:p w14:paraId="3AF728C5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t>数据来源：业绩预告取自</w:t>
      </w:r>
      <w:r>
        <w:rPr>
          <w:color w:val="767676"/>
          <w:sz w:val="18"/>
          <w:lang w:eastAsia="zh-CN"/>
        </w:rPr>
        <w:t>2026-05</w:t>
      </w:r>
      <w:r>
        <w:rPr>
          <w:color w:val="767676"/>
          <w:sz w:val="18"/>
          <w:lang w:eastAsia="zh-CN"/>
        </w:rPr>
        <w:t>上会稿（预测）；实际取自</w:t>
      </w:r>
      <w:r>
        <w:rPr>
          <w:color w:val="767676"/>
          <w:sz w:val="18"/>
          <w:lang w:eastAsia="zh-CN"/>
        </w:rPr>
        <w:t>2026-08-17</w:t>
      </w:r>
      <w:r>
        <w:rPr>
          <w:color w:val="767676"/>
          <w:sz w:val="18"/>
          <w:lang w:eastAsia="zh-CN"/>
        </w:rPr>
        <w:t>上市公告书（未经审计）。</w:t>
      </w:r>
    </w:p>
    <w:p w14:paraId="36E3CDEE" w14:textId="77777777" w:rsidR="00CE530A" w:rsidRDefault="00000000">
      <w:pPr>
        <w:pStyle w:val="21"/>
        <w:spacing w:before="220" w:after="100"/>
        <w:ind w:firstLine="571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2.4  </w:t>
      </w:r>
      <w:r>
        <w:rPr>
          <w:rFonts w:ascii="Arial" w:eastAsia="黑体" w:hAnsi="Arial"/>
          <w:lang w:eastAsia="zh-CN"/>
        </w:rPr>
        <w:t>现金流与资产负债表</w:t>
      </w:r>
    </w:p>
    <w:p w14:paraId="5C5FFE6C" w14:textId="77777777" w:rsidR="00CE530A" w:rsidRDefault="00000000">
      <w:pPr>
        <w:rPr>
          <w:lang w:eastAsia="zh-CN"/>
        </w:rPr>
      </w:pPr>
      <w:r>
        <w:rPr>
          <w:lang w:eastAsia="zh-CN"/>
        </w:rPr>
        <w:t>经营活动现金流净额由</w:t>
      </w:r>
      <w:r>
        <w:rPr>
          <w:lang w:eastAsia="zh-CN"/>
        </w:rPr>
        <w:t>494.25</w:t>
      </w:r>
      <w:r>
        <w:rPr>
          <w:lang w:eastAsia="zh-CN"/>
        </w:rPr>
        <w:t>万元增至</w:t>
      </w:r>
      <w:r>
        <w:rPr>
          <w:lang w:eastAsia="zh-CN"/>
        </w:rPr>
        <w:t>19,239.13</w:t>
      </w:r>
      <w:r>
        <w:rPr>
          <w:lang w:eastAsia="zh-CN"/>
        </w:rPr>
        <w:t>万元、再到</w:t>
      </w:r>
      <w:r>
        <w:rPr>
          <w:lang w:eastAsia="zh-CN"/>
        </w:rPr>
        <w:t>66,998.18</w:t>
      </w:r>
      <w:r>
        <w:rPr>
          <w:lang w:eastAsia="zh-CN"/>
        </w:rPr>
        <w:t>万元，</w:t>
      </w:r>
      <w:r>
        <w:rPr>
          <w:lang w:eastAsia="zh-CN"/>
        </w:rPr>
        <w:t>2025</w:t>
      </w:r>
      <w:r>
        <w:rPr>
          <w:lang w:eastAsia="zh-CN"/>
        </w:rPr>
        <w:t>年经营现金流</w:t>
      </w:r>
      <w:r>
        <w:rPr>
          <w:lang w:eastAsia="zh-CN"/>
        </w:rPr>
        <w:t>/</w:t>
      </w:r>
      <w:r>
        <w:rPr>
          <w:lang w:eastAsia="zh-CN"/>
        </w:rPr>
        <w:t>营业收入约</w:t>
      </w:r>
      <w:r>
        <w:rPr>
          <w:lang w:eastAsia="zh-CN"/>
        </w:rPr>
        <w:t>39.4%</w:t>
      </w:r>
      <w:r>
        <w:rPr>
          <w:lang w:eastAsia="zh-CN"/>
        </w:rPr>
        <w:t>，现金对利润覆盖较充分；</w:t>
      </w:r>
      <w:r>
        <w:rPr>
          <w:lang w:eastAsia="zh-CN"/>
        </w:rPr>
        <w:t>2023—2025</w:t>
      </w:r>
      <w:r>
        <w:rPr>
          <w:lang w:eastAsia="zh-CN"/>
        </w:rPr>
        <w:t>年合并资产负债率为</w:t>
      </w:r>
      <w:r>
        <w:rPr>
          <w:lang w:eastAsia="zh-CN"/>
        </w:rPr>
        <w:t>23.57%</w:t>
      </w:r>
      <w:r>
        <w:rPr>
          <w:lang w:eastAsia="zh-CN"/>
        </w:rPr>
        <w:t>、</w:t>
      </w:r>
      <w:r>
        <w:rPr>
          <w:lang w:eastAsia="zh-CN"/>
        </w:rPr>
        <w:t>16.19%</w:t>
      </w:r>
      <w:r>
        <w:rPr>
          <w:lang w:eastAsia="zh-CN"/>
        </w:rPr>
        <w:t>、</w:t>
      </w:r>
      <w:r>
        <w:rPr>
          <w:lang w:eastAsia="zh-CN"/>
        </w:rPr>
        <w:t>18.82%</w:t>
      </w:r>
      <w:r>
        <w:rPr>
          <w:lang w:eastAsia="zh-CN"/>
        </w:rPr>
        <w:t>，整体低杠杆。截至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月末，公司总资产</w:t>
      </w:r>
      <w:r>
        <w:rPr>
          <w:lang w:eastAsia="zh-CN"/>
        </w:rPr>
        <w:t>384,546.94</w:t>
      </w:r>
      <w:r>
        <w:rPr>
          <w:lang w:eastAsia="zh-CN"/>
        </w:rPr>
        <w:t>万元、较年初增长</w:t>
      </w:r>
      <w:r>
        <w:rPr>
          <w:lang w:eastAsia="zh-CN"/>
        </w:rPr>
        <w:t>19.85%</w:t>
      </w:r>
      <w:r>
        <w:rPr>
          <w:lang w:eastAsia="zh-CN"/>
        </w:rPr>
        <w:t>，资产负债率回升至</w:t>
      </w:r>
      <w:r>
        <w:rPr>
          <w:lang w:eastAsia="zh-CN"/>
        </w:rPr>
        <w:t>25.11%</w:t>
      </w:r>
      <w:r>
        <w:rPr>
          <w:lang w:eastAsia="zh-CN"/>
        </w:rPr>
        <w:t>（合同负债、</w:t>
      </w:r>
      <w:r>
        <w:rPr>
          <w:lang w:eastAsia="zh-CN"/>
        </w:rPr>
        <w:lastRenderedPageBreak/>
        <w:t>应付款项及租赁负债增加），上半年经营现金流净额</w:t>
      </w:r>
      <w:r>
        <w:rPr>
          <w:lang w:eastAsia="zh-CN"/>
        </w:rPr>
        <w:t>23,154.53</w:t>
      </w:r>
      <w:r>
        <w:rPr>
          <w:lang w:eastAsia="zh-CN"/>
        </w:rPr>
        <w:t>万元、同比下降</w:t>
      </w:r>
      <w:r>
        <w:rPr>
          <w:lang w:eastAsia="zh-CN"/>
        </w:rPr>
        <w:t>32.53%</w:t>
      </w:r>
      <w:r>
        <w:rPr>
          <w:lang w:eastAsia="zh-CN"/>
        </w:rPr>
        <w:t>，需持续跟踪回款与负债结构变化。</w:t>
      </w:r>
    </w:p>
    <w:p w14:paraId="69B062B4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3  </w:t>
      </w:r>
      <w:r>
        <w:rPr>
          <w:rFonts w:ascii="Arial" w:eastAsia="黑体" w:hAnsi="Arial"/>
          <w:lang w:eastAsia="zh-CN"/>
        </w:rPr>
        <w:t>研发投入</w:t>
      </w:r>
    </w:p>
    <w:p w14:paraId="2EC77BB1" w14:textId="77777777" w:rsidR="00CE530A" w:rsidRDefault="00000000">
      <w:pPr>
        <w:rPr>
          <w:lang w:eastAsia="zh-CN"/>
        </w:rPr>
      </w:pPr>
      <w:r>
        <w:rPr>
          <w:lang w:eastAsia="zh-CN"/>
        </w:rPr>
        <w:t>研发费用绝对额持续上升、费用率因收入快速放大而下降：</w:t>
      </w:r>
      <w:r>
        <w:rPr>
          <w:lang w:eastAsia="zh-CN"/>
        </w:rPr>
        <w:t>2023—2025</w:t>
      </w:r>
      <w:r>
        <w:rPr>
          <w:lang w:eastAsia="zh-CN"/>
        </w:rPr>
        <w:t>年研发费用分别为</w:t>
      </w:r>
      <w:r>
        <w:rPr>
          <w:lang w:eastAsia="zh-CN"/>
        </w:rPr>
        <w:t>4,995.18</w:t>
      </w:r>
      <w:r>
        <w:rPr>
          <w:lang w:eastAsia="zh-CN"/>
        </w:rPr>
        <w:t>万元、</w:t>
      </w:r>
      <w:r>
        <w:rPr>
          <w:lang w:eastAsia="zh-CN"/>
        </w:rPr>
        <w:t>7,001.70</w:t>
      </w:r>
      <w:r>
        <w:rPr>
          <w:lang w:eastAsia="zh-CN"/>
        </w:rPr>
        <w:t>万元、</w:t>
      </w:r>
      <w:r>
        <w:rPr>
          <w:lang w:eastAsia="zh-CN"/>
        </w:rPr>
        <w:t>14,496.56</w:t>
      </w:r>
      <w:r>
        <w:rPr>
          <w:lang w:eastAsia="zh-CN"/>
        </w:rPr>
        <w:t>万元，三年累计</w:t>
      </w:r>
      <w:r>
        <w:rPr>
          <w:lang w:eastAsia="zh-CN"/>
        </w:rPr>
        <w:t>26,493.44</w:t>
      </w:r>
      <w:r>
        <w:rPr>
          <w:lang w:eastAsia="zh-CN"/>
        </w:rPr>
        <w:t>万元；研发费用率由</w:t>
      </w:r>
      <w:r>
        <w:rPr>
          <w:lang w:eastAsia="zh-CN"/>
        </w:rPr>
        <w:t>31.39%</w:t>
      </w:r>
      <w:r>
        <w:rPr>
          <w:lang w:eastAsia="zh-CN"/>
        </w:rPr>
        <w:t>降至</w:t>
      </w:r>
      <w:r>
        <w:rPr>
          <w:lang w:eastAsia="zh-CN"/>
        </w:rPr>
        <w:t>17.83%</w:t>
      </w:r>
      <w:r>
        <w:rPr>
          <w:lang w:eastAsia="zh-CN"/>
        </w:rPr>
        <w:t>、再到</w:t>
      </w:r>
      <w:r>
        <w:rPr>
          <w:lang w:eastAsia="zh-CN"/>
        </w:rPr>
        <w:t>8.53%</w:t>
      </w:r>
      <w:r>
        <w:rPr>
          <w:lang w:eastAsia="zh-CN"/>
        </w:rPr>
        <w:t>，属于规模摊薄而非投入收缩。截至</w:t>
      </w:r>
      <w:r>
        <w:rPr>
          <w:lang w:eastAsia="zh-CN"/>
        </w:rPr>
        <w:t>2025</w:t>
      </w:r>
      <w:r>
        <w:rPr>
          <w:lang w:eastAsia="zh-CN"/>
        </w:rPr>
        <w:t>年末公司员工</w:t>
      </w:r>
      <w:r>
        <w:rPr>
          <w:lang w:eastAsia="zh-CN"/>
        </w:rPr>
        <w:t>516</w:t>
      </w:r>
      <w:r>
        <w:rPr>
          <w:lang w:eastAsia="zh-CN"/>
        </w:rPr>
        <w:t>人，其中研发人员</w:t>
      </w:r>
      <w:r>
        <w:rPr>
          <w:lang w:eastAsia="zh-CN"/>
        </w:rPr>
        <w:t>184</w:t>
      </w:r>
      <w:r>
        <w:rPr>
          <w:lang w:eastAsia="zh-CN"/>
        </w:rPr>
        <w:t>人、占</w:t>
      </w:r>
      <w:r>
        <w:rPr>
          <w:lang w:eastAsia="zh-CN"/>
        </w:rPr>
        <w:t>35.66%</w:t>
      </w:r>
      <w:r>
        <w:rPr>
          <w:lang w:eastAsia="zh-CN"/>
        </w:rPr>
        <w:t>。</w:t>
      </w:r>
    </w:p>
    <w:p w14:paraId="35E10925" w14:textId="77777777" w:rsidR="00CE530A" w:rsidRDefault="00000000">
      <w:pPr>
        <w:spacing w:before="120" w:after="80"/>
        <w:ind w:firstLineChars="0" w:firstLine="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6  </w:t>
      </w:r>
      <w:r>
        <w:rPr>
          <w:b/>
          <w:sz w:val="21"/>
          <w:lang w:eastAsia="zh-CN"/>
        </w:rPr>
        <w:t>研发投入与人员（万元、人、</w:t>
      </w:r>
      <w:r>
        <w:rPr>
          <w:b/>
          <w:sz w:val="21"/>
          <w:lang w:eastAsia="zh-CN"/>
        </w:rPr>
        <w:t>%</w:t>
      </w:r>
      <w:r>
        <w:rPr>
          <w:b/>
          <w:sz w:val="21"/>
          <w:lang w:eastAsia="zh-CN"/>
        </w:rPr>
        <w:t>）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610"/>
        <w:gridCol w:w="2154"/>
        <w:gridCol w:w="2154"/>
        <w:gridCol w:w="2154"/>
      </w:tblGrid>
      <w:tr w:rsidR="00CE530A" w14:paraId="545880D1" w14:textId="77777777"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1528B419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5591ECE3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2023A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5A399715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2024A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6E65D991" w14:textId="77777777" w:rsidR="00CE530A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2025A</w:t>
            </w:r>
          </w:p>
        </w:tc>
      </w:tr>
      <w:tr w:rsidR="00CE530A" w14:paraId="10A5DC1D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252B667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研发费用</w:t>
            </w:r>
          </w:p>
        </w:tc>
        <w:tc>
          <w:tcPr>
            <w:tcW w:w="2154" w:type="dxa"/>
            <w:vAlign w:val="center"/>
          </w:tcPr>
          <w:p w14:paraId="1A2C7D8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4,995.18</w:t>
            </w:r>
          </w:p>
        </w:tc>
        <w:tc>
          <w:tcPr>
            <w:tcW w:w="2154" w:type="dxa"/>
            <w:vAlign w:val="center"/>
          </w:tcPr>
          <w:p w14:paraId="37D7DA3D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7,001.70</w:t>
            </w:r>
          </w:p>
        </w:tc>
        <w:tc>
          <w:tcPr>
            <w:tcW w:w="2154" w:type="dxa"/>
            <w:vAlign w:val="center"/>
          </w:tcPr>
          <w:p w14:paraId="6EDC3338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14,496.56</w:t>
            </w:r>
          </w:p>
        </w:tc>
      </w:tr>
      <w:tr w:rsidR="00CE530A" w14:paraId="0970D643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5FA063F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研发费用率</w:t>
            </w:r>
          </w:p>
        </w:tc>
        <w:tc>
          <w:tcPr>
            <w:tcW w:w="2154" w:type="dxa"/>
            <w:vAlign w:val="center"/>
          </w:tcPr>
          <w:p w14:paraId="23CE843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31.39%</w:t>
            </w:r>
          </w:p>
        </w:tc>
        <w:tc>
          <w:tcPr>
            <w:tcW w:w="2154" w:type="dxa"/>
            <w:vAlign w:val="center"/>
          </w:tcPr>
          <w:p w14:paraId="44B21575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17.83%</w:t>
            </w:r>
          </w:p>
        </w:tc>
        <w:tc>
          <w:tcPr>
            <w:tcW w:w="2154" w:type="dxa"/>
            <w:vAlign w:val="center"/>
          </w:tcPr>
          <w:p w14:paraId="7EEDF22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8.53%</w:t>
            </w:r>
          </w:p>
        </w:tc>
      </w:tr>
      <w:tr w:rsidR="00CE530A" w14:paraId="3D91CFD7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8D86C15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员工总数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期末</w:t>
            </w:r>
            <w:r>
              <w:rPr>
                <w:sz w:val="21"/>
              </w:rPr>
              <w:t>)</w:t>
            </w:r>
          </w:p>
        </w:tc>
        <w:tc>
          <w:tcPr>
            <w:tcW w:w="2154" w:type="dxa"/>
            <w:vAlign w:val="center"/>
          </w:tcPr>
          <w:p w14:paraId="31B72DC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5B6333EE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07CC241B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516</w:t>
            </w:r>
          </w:p>
        </w:tc>
      </w:tr>
      <w:tr w:rsidR="00CE530A" w14:paraId="16C425F8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DDF2F25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研发人员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期末</w:t>
            </w:r>
            <w:r>
              <w:rPr>
                <w:sz w:val="21"/>
              </w:rPr>
              <w:t>)</w:t>
            </w:r>
          </w:p>
        </w:tc>
        <w:tc>
          <w:tcPr>
            <w:tcW w:w="2154" w:type="dxa"/>
            <w:vAlign w:val="center"/>
          </w:tcPr>
          <w:p w14:paraId="16204F39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708BFAB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451D7952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184</w:t>
            </w:r>
          </w:p>
        </w:tc>
      </w:tr>
      <w:tr w:rsidR="00CE530A" w14:paraId="56CBED4B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DF15323" w14:textId="77777777" w:rsidR="00CE530A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研发人员占比</w:t>
            </w:r>
          </w:p>
        </w:tc>
        <w:tc>
          <w:tcPr>
            <w:tcW w:w="2154" w:type="dxa"/>
            <w:vAlign w:val="center"/>
          </w:tcPr>
          <w:p w14:paraId="2E0F60D3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1F0242EA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—</w:t>
            </w:r>
          </w:p>
        </w:tc>
        <w:tc>
          <w:tcPr>
            <w:tcW w:w="2154" w:type="dxa"/>
            <w:vAlign w:val="center"/>
          </w:tcPr>
          <w:p w14:paraId="34CDD0B1" w14:textId="77777777" w:rsidR="00CE530A" w:rsidRDefault="00000000">
            <w:pPr>
              <w:spacing w:line="240" w:lineRule="auto"/>
              <w:ind w:firstLineChars="0" w:firstLine="0"/>
              <w:jc w:val="right"/>
            </w:pPr>
            <w:r>
              <w:rPr>
                <w:sz w:val="21"/>
              </w:rPr>
              <w:t>35.66%</w:t>
            </w:r>
          </w:p>
        </w:tc>
      </w:tr>
    </w:tbl>
    <w:p w14:paraId="685B2BAA" w14:textId="77777777" w:rsidR="00CE530A" w:rsidRDefault="00000000">
      <w:pPr>
        <w:spacing w:after="120"/>
        <w:ind w:firstLineChars="0" w:firstLine="0"/>
        <w:jc w:val="left"/>
        <w:rPr>
          <w:lang w:eastAsia="zh-CN"/>
        </w:rPr>
      </w:pPr>
      <w:r>
        <w:rPr>
          <w:color w:val="767676"/>
          <w:sz w:val="18"/>
          <w:lang w:eastAsia="zh-CN"/>
        </w:rPr>
        <w:t>数据来源：上市保荐书（底稿</w:t>
      </w:r>
      <w:r>
        <w:rPr>
          <w:color w:val="767676"/>
          <w:sz w:val="18"/>
          <w:lang w:eastAsia="zh-CN"/>
        </w:rPr>
        <w:t>S2</w:t>
      </w:r>
      <w:r>
        <w:rPr>
          <w:color w:val="767676"/>
          <w:sz w:val="18"/>
          <w:lang w:eastAsia="zh-CN"/>
        </w:rPr>
        <w:t>）；研发费用率由研发费用</w:t>
      </w:r>
      <w:r>
        <w:rPr>
          <w:color w:val="767676"/>
          <w:sz w:val="18"/>
          <w:lang w:eastAsia="zh-CN"/>
        </w:rPr>
        <w:t>/</w:t>
      </w:r>
      <w:r>
        <w:rPr>
          <w:color w:val="767676"/>
          <w:sz w:val="18"/>
          <w:lang w:eastAsia="zh-CN"/>
        </w:rPr>
        <w:t>营业收入现算；人员仅取得</w:t>
      </w:r>
      <w:r>
        <w:rPr>
          <w:color w:val="767676"/>
          <w:sz w:val="18"/>
          <w:lang w:eastAsia="zh-CN"/>
        </w:rPr>
        <w:t>2025</w:t>
      </w:r>
      <w:r>
        <w:rPr>
          <w:color w:val="767676"/>
          <w:sz w:val="18"/>
          <w:lang w:eastAsia="zh-CN"/>
        </w:rPr>
        <w:t>年末数。</w:t>
      </w:r>
    </w:p>
    <w:p w14:paraId="0CA6F54C" w14:textId="77777777" w:rsidR="00CE530A" w:rsidRDefault="00000000">
      <w:pPr>
        <w:rPr>
          <w:lang w:eastAsia="zh-CN"/>
        </w:rPr>
      </w:pPr>
      <w:r>
        <w:rPr>
          <w:lang w:eastAsia="zh-CN"/>
        </w:rPr>
        <w:t>从募投方向看，原拟募资约</w:t>
      </w:r>
      <w:r>
        <w:rPr>
          <w:lang w:eastAsia="zh-CN"/>
        </w:rPr>
        <w:t>42.02</w:t>
      </w:r>
      <w:r>
        <w:rPr>
          <w:lang w:eastAsia="zh-CN"/>
        </w:rPr>
        <w:t>亿元中，智能机器人模型研发（</w:t>
      </w:r>
      <w:r>
        <w:rPr>
          <w:lang w:eastAsia="zh-CN"/>
        </w:rPr>
        <w:t>20.22</w:t>
      </w:r>
      <w:r>
        <w:rPr>
          <w:lang w:eastAsia="zh-CN"/>
        </w:rPr>
        <w:t>亿元）、机器人本体研发（</w:t>
      </w:r>
      <w:r>
        <w:rPr>
          <w:lang w:eastAsia="zh-CN"/>
        </w:rPr>
        <w:t>11.10</w:t>
      </w:r>
      <w:r>
        <w:rPr>
          <w:lang w:eastAsia="zh-CN"/>
        </w:rPr>
        <w:t>亿元）、新型智能机器人产品开发（</w:t>
      </w:r>
      <w:r>
        <w:rPr>
          <w:lang w:eastAsia="zh-CN"/>
        </w:rPr>
        <w:t>4.45</w:t>
      </w:r>
      <w:r>
        <w:rPr>
          <w:lang w:eastAsia="zh-CN"/>
        </w:rPr>
        <w:t>亿元）三项合计约</w:t>
      </w:r>
      <w:r>
        <w:rPr>
          <w:lang w:eastAsia="zh-CN"/>
        </w:rPr>
        <w:t>35.77</w:t>
      </w:r>
      <w:r>
        <w:rPr>
          <w:lang w:eastAsia="zh-CN"/>
        </w:rPr>
        <w:t>亿元、占比约</w:t>
      </w:r>
      <w:r>
        <w:rPr>
          <w:lang w:eastAsia="zh-CN"/>
        </w:rPr>
        <w:t>85%</w:t>
      </w:r>
      <w:r>
        <w:rPr>
          <w:lang w:eastAsia="zh-CN"/>
        </w:rPr>
        <w:t>，战略资源明显向具身智能</w:t>
      </w:r>
      <w:r>
        <w:rPr>
          <w:lang w:eastAsia="zh-CN"/>
        </w:rPr>
        <w:t>“</w:t>
      </w:r>
      <w:r>
        <w:rPr>
          <w:lang w:eastAsia="zh-CN"/>
        </w:rPr>
        <w:t>大脑</w:t>
      </w:r>
      <w:r>
        <w:rPr>
          <w:lang w:eastAsia="zh-CN"/>
        </w:rPr>
        <w:t>/</w:t>
      </w:r>
      <w:r>
        <w:rPr>
          <w:lang w:eastAsia="zh-CN"/>
        </w:rPr>
        <w:t>小脑</w:t>
      </w:r>
      <w:r>
        <w:rPr>
          <w:lang w:eastAsia="zh-CN"/>
        </w:rPr>
        <w:t>”</w:t>
      </w:r>
      <w:r>
        <w:rPr>
          <w:lang w:eastAsia="zh-CN"/>
        </w:rPr>
        <w:t>模型与本体技术倾斜（分项金额为约数、精确值以招股书为准）。</w:t>
      </w:r>
    </w:p>
    <w:p w14:paraId="7C1D2498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4  </w:t>
      </w:r>
      <w:r>
        <w:rPr>
          <w:rFonts w:ascii="Arial" w:eastAsia="黑体" w:hAnsi="Arial"/>
          <w:lang w:eastAsia="zh-CN"/>
        </w:rPr>
        <w:t>竞争优势</w:t>
      </w:r>
    </w:p>
    <w:p w14:paraId="0511E012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）全栈自研支撑高毛利。主营业务毛利率三年提升至</w:t>
      </w:r>
      <w:r>
        <w:rPr>
          <w:lang w:eastAsia="zh-CN"/>
        </w:rPr>
        <w:t>60.13%</w:t>
      </w:r>
      <w:r>
        <w:rPr>
          <w:lang w:eastAsia="zh-CN"/>
        </w:rPr>
        <w:t>，与公司在电机、控制器、感知算法、整机及具身智能模型上的垂直自研、核心零部件自产直接相关，高毛利为研发再投入和价格下探留出空间。</w:t>
      </w:r>
    </w:p>
    <w:p w14:paraId="19CDC7F7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）出货规模与产品矩阵领先。人形机器人</w:t>
      </w:r>
      <w:r>
        <w:rPr>
          <w:lang w:eastAsia="zh-CN"/>
        </w:rPr>
        <w:t>2025</w:t>
      </w:r>
      <w:r>
        <w:rPr>
          <w:lang w:eastAsia="zh-CN"/>
        </w:rPr>
        <w:t>年确认收入口径销量</w:t>
      </w:r>
      <w:r>
        <w:rPr>
          <w:lang w:eastAsia="zh-CN"/>
        </w:rPr>
        <w:t>5,215</w:t>
      </w:r>
      <w:r>
        <w:rPr>
          <w:lang w:eastAsia="zh-CN"/>
        </w:rPr>
        <w:t>台、公司称纯人形出货超</w:t>
      </w:r>
      <w:r>
        <w:rPr>
          <w:lang w:eastAsia="zh-CN"/>
        </w:rPr>
        <w:t>5,500</w:t>
      </w:r>
      <w:r>
        <w:rPr>
          <w:lang w:eastAsia="zh-CN"/>
        </w:rPr>
        <w:t>台居全球第一；四足报告期累计销量超</w:t>
      </w:r>
      <w:r>
        <w:rPr>
          <w:lang w:eastAsia="zh-CN"/>
        </w:rPr>
        <w:t>3.3</w:t>
      </w:r>
      <w:r>
        <w:rPr>
          <w:lang w:eastAsia="zh-CN"/>
        </w:rPr>
        <w:t>万台、全球份额领先，规模效应有助于摊薄单位成本并巩固供应链议价能力。</w:t>
      </w:r>
    </w:p>
    <w:p w14:paraId="067D15C4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）产销衔接顺畅。</w:t>
      </w:r>
      <w:r>
        <w:rPr>
          <w:lang w:eastAsia="zh-CN"/>
        </w:rPr>
        <w:t>2025</w:t>
      </w:r>
      <w:r>
        <w:rPr>
          <w:lang w:eastAsia="zh-CN"/>
        </w:rPr>
        <w:t>年前三季度人形机器人产销率超过</w:t>
      </w:r>
      <w:r>
        <w:rPr>
          <w:lang w:eastAsia="zh-CN"/>
        </w:rPr>
        <w:t>95%</w:t>
      </w:r>
      <w:r>
        <w:rPr>
          <w:lang w:eastAsia="zh-CN"/>
        </w:rPr>
        <w:t>，基本满产满销，显示需求侧对现有产能形成较强支撑。</w:t>
      </w:r>
    </w:p>
    <w:p w14:paraId="07B8BB2D" w14:textId="77777777" w:rsidR="00CE530A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4</w:t>
      </w:r>
      <w:r>
        <w:rPr>
          <w:lang w:eastAsia="zh-CN"/>
        </w:rPr>
        <w:t>）产品价格带持续下探、拓宽可及市场。人形平均单价由</w:t>
      </w:r>
      <w:r>
        <w:rPr>
          <w:lang w:eastAsia="zh-CN"/>
        </w:rPr>
        <w:t>59.34</w:t>
      </w:r>
      <w:r>
        <w:rPr>
          <w:lang w:eastAsia="zh-CN"/>
        </w:rPr>
        <w:t>万元降至</w:t>
      </w:r>
      <w:r>
        <w:rPr>
          <w:lang w:eastAsia="zh-CN"/>
        </w:rPr>
        <w:t>16.64</w:t>
      </w:r>
      <w:r>
        <w:rPr>
          <w:lang w:eastAsia="zh-CN"/>
        </w:rPr>
        <w:t>万元、四足降至</w:t>
      </w:r>
      <w:r>
        <w:rPr>
          <w:lang w:eastAsia="zh-CN"/>
        </w:rPr>
        <w:t>3.03</w:t>
      </w:r>
      <w:r>
        <w:rPr>
          <w:lang w:eastAsia="zh-CN"/>
        </w:rPr>
        <w:t>万元，通过</w:t>
      </w:r>
      <w:r>
        <w:rPr>
          <w:lang w:eastAsia="zh-CN"/>
        </w:rPr>
        <w:t>G1</w:t>
      </w:r>
      <w:r>
        <w:rPr>
          <w:lang w:eastAsia="zh-CN"/>
        </w:rPr>
        <w:t>等产品把价格带下探至</w:t>
      </w:r>
      <w:r>
        <w:rPr>
          <w:lang w:eastAsia="zh-CN"/>
        </w:rPr>
        <w:t>10</w:t>
      </w:r>
      <w:r>
        <w:rPr>
          <w:lang w:eastAsia="zh-CN"/>
        </w:rPr>
        <w:t>万元级，有利于扩大装机与开发者生态。</w:t>
      </w:r>
    </w:p>
    <w:p w14:paraId="54F15EF3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）报表稳健、具备融资能力。</w:t>
      </w:r>
      <w:r>
        <w:rPr>
          <w:lang w:eastAsia="zh-CN"/>
        </w:rPr>
        <w:t>2025</w:t>
      </w:r>
      <w:r>
        <w:rPr>
          <w:lang w:eastAsia="zh-CN"/>
        </w:rPr>
        <w:t>年末资产负债率仅</w:t>
      </w:r>
      <w:r>
        <w:rPr>
          <w:lang w:eastAsia="zh-CN"/>
        </w:rPr>
        <w:t>18.82%</w:t>
      </w:r>
      <w:r>
        <w:rPr>
          <w:lang w:eastAsia="zh-CN"/>
        </w:rPr>
        <w:t>、经营现金流</w:t>
      </w:r>
      <w:r>
        <w:rPr>
          <w:lang w:eastAsia="zh-CN"/>
        </w:rPr>
        <w:t>66,998.18</w:t>
      </w:r>
      <w:r>
        <w:rPr>
          <w:lang w:eastAsia="zh-CN"/>
        </w:rPr>
        <w:t>万元；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IPO</w:t>
      </w:r>
      <w:r>
        <w:rPr>
          <w:lang w:eastAsia="zh-CN"/>
        </w:rPr>
        <w:t>募资净额</w:t>
      </w:r>
      <w:r>
        <w:rPr>
          <w:lang w:eastAsia="zh-CN"/>
        </w:rPr>
        <w:t>59.17</w:t>
      </w:r>
      <w:r>
        <w:rPr>
          <w:lang w:eastAsia="zh-CN"/>
        </w:rPr>
        <w:t>亿元（相对原拟投项目形成超募），为模型、本体研发与制造基地建设提供资金。上述优势均以披露数据为依据，技术领先性的同业量化对比本报告未取得充分一手数据，不作扩展结论。</w:t>
      </w:r>
    </w:p>
    <w:p w14:paraId="4AD4738F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5  </w:t>
      </w:r>
      <w:r>
        <w:rPr>
          <w:rFonts w:ascii="Arial" w:eastAsia="黑体" w:hAnsi="Arial"/>
          <w:lang w:eastAsia="zh-CN"/>
        </w:rPr>
        <w:t>增长变量</w:t>
      </w:r>
    </w:p>
    <w:p w14:paraId="53620246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）人形机器人放量与结构升级。人形已成为第一大收入来源（</w:t>
      </w:r>
      <w:r>
        <w:rPr>
          <w:lang w:eastAsia="zh-CN"/>
        </w:rPr>
        <w:t>2025</w:t>
      </w:r>
      <w:r>
        <w:rPr>
          <w:lang w:eastAsia="zh-CN"/>
        </w:rPr>
        <w:t>年占主营</w:t>
      </w:r>
      <w:r>
        <w:rPr>
          <w:lang w:eastAsia="zh-CN"/>
        </w:rPr>
        <w:t>51.78%</w:t>
      </w:r>
      <w:r>
        <w:rPr>
          <w:lang w:eastAsia="zh-CN"/>
        </w:rPr>
        <w:t>），其销量增长、产品迭代与单价策略是收入弹性的首要变量；能否把需求从科研教育拓展到行业应用，决定增长的持续性。</w:t>
      </w:r>
    </w:p>
    <w:p w14:paraId="71FE22A6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）下游场景拓宽。当前人形收入约</w:t>
      </w:r>
      <w:r>
        <w:rPr>
          <w:lang w:eastAsia="zh-CN"/>
        </w:rPr>
        <w:t>73.6%</w:t>
      </w:r>
      <w:r>
        <w:rPr>
          <w:lang w:eastAsia="zh-CN"/>
        </w:rPr>
        <w:t>来自科研教育（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1—9</w:t>
      </w:r>
      <w:r>
        <w:rPr>
          <w:lang w:eastAsia="zh-CN"/>
        </w:rPr>
        <w:t>月口径），商业消费、行业应用占比提升将打开新增量；四足在商业消费与行业应用的占比已相对均衡，可作为场景拓展的参照。</w:t>
      </w:r>
    </w:p>
    <w:p w14:paraId="3D8437BC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）境内需求与品牌外溢。</w:t>
      </w:r>
      <w:r>
        <w:rPr>
          <w:lang w:eastAsia="zh-CN"/>
        </w:rPr>
        <w:t>2025</w:t>
      </w:r>
      <w:r>
        <w:rPr>
          <w:lang w:eastAsia="zh-CN"/>
        </w:rPr>
        <w:t>年境内收入占比升至</w:t>
      </w:r>
      <w:r>
        <w:rPr>
          <w:lang w:eastAsia="zh-CN"/>
        </w:rPr>
        <w:t>56.35%</w:t>
      </w:r>
      <w:r>
        <w:rPr>
          <w:lang w:eastAsia="zh-CN"/>
        </w:rPr>
        <w:t>并反超境外，国内人形需求与重大活动品牌曝光带来拉动；境外收入绝对额仍增至</w:t>
      </w:r>
      <w:r>
        <w:rPr>
          <w:lang w:eastAsia="zh-CN"/>
        </w:rPr>
        <w:t>73,165.53</w:t>
      </w:r>
      <w:r>
        <w:rPr>
          <w:lang w:eastAsia="zh-CN"/>
        </w:rPr>
        <w:t>万元，海外渠道扩张构成第二增长曲线。</w:t>
      </w:r>
    </w:p>
    <w:p w14:paraId="145B03B0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）募投与产能建设（计划，非已实现）。原拟投建智能机器人制造基地，达产规划年产能为人形</w:t>
      </w:r>
      <w:r>
        <w:rPr>
          <w:lang w:eastAsia="zh-CN"/>
        </w:rPr>
        <w:t>7.5</w:t>
      </w:r>
      <w:r>
        <w:rPr>
          <w:lang w:eastAsia="zh-CN"/>
        </w:rPr>
        <w:t>万台、四足</w:t>
      </w:r>
      <w:r>
        <w:rPr>
          <w:lang w:eastAsia="zh-CN"/>
        </w:rPr>
        <w:t>11.5</w:t>
      </w:r>
      <w:r>
        <w:rPr>
          <w:lang w:eastAsia="zh-CN"/>
        </w:rPr>
        <w:t>万台</w:t>
      </w:r>
      <w:r>
        <w:rPr>
          <w:lang w:eastAsia="zh-CN"/>
        </w:rPr>
        <w:t>——</w:t>
      </w:r>
      <w:r>
        <w:rPr>
          <w:lang w:eastAsia="zh-CN"/>
        </w:rPr>
        <w:t>该数字为招股书披露的达产规划，并非当前已实现产能或产量；募投项目的实际投入、建设进度与达产节奏是后续供给端的关键变量，需以定期报告和公告持续验证。</w:t>
      </w:r>
    </w:p>
    <w:p w14:paraId="02A928FE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）资金与研发转化。</w:t>
      </w:r>
      <w:r>
        <w:rPr>
          <w:lang w:eastAsia="zh-CN"/>
        </w:rPr>
        <w:t>IPO</w:t>
      </w:r>
      <w:r>
        <w:rPr>
          <w:lang w:eastAsia="zh-CN"/>
        </w:rPr>
        <w:t>超募资金与约</w:t>
      </w:r>
      <w:r>
        <w:rPr>
          <w:lang w:eastAsia="zh-CN"/>
        </w:rPr>
        <w:t>85%</w:t>
      </w:r>
      <w:r>
        <w:rPr>
          <w:lang w:eastAsia="zh-CN"/>
        </w:rPr>
        <w:t>投向研发的募投结构，若能有效转化为模型与产品竞争力，将支撑中长期增长；反之则可能形成费用与折旧压力。</w:t>
      </w:r>
    </w:p>
    <w:p w14:paraId="2E9658A3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6  </w:t>
      </w:r>
      <w:r>
        <w:rPr>
          <w:rFonts w:ascii="Arial" w:eastAsia="黑体" w:hAnsi="Arial"/>
          <w:lang w:eastAsia="zh-CN"/>
        </w:rPr>
        <w:t>主要风险</w:t>
      </w:r>
    </w:p>
    <w:p w14:paraId="58D3402E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）商业化场景集中风险。人形机器人收入约</w:t>
      </w:r>
      <w:r>
        <w:rPr>
          <w:lang w:eastAsia="zh-CN"/>
        </w:rPr>
        <w:t>73.6%</w:t>
      </w:r>
      <w:r>
        <w:rPr>
          <w:lang w:eastAsia="zh-CN"/>
        </w:rPr>
        <w:t>来自科研教育、行业应用仅约</w:t>
      </w:r>
      <w:r>
        <w:rPr>
          <w:lang w:eastAsia="zh-CN"/>
        </w:rPr>
        <w:t>9.01%</w:t>
      </w:r>
      <w:r>
        <w:rPr>
          <w:lang w:eastAsia="zh-CN"/>
        </w:rPr>
        <w:t>（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1—9</w:t>
      </w:r>
      <w:r>
        <w:rPr>
          <w:lang w:eastAsia="zh-CN"/>
        </w:rPr>
        <w:t>月口径），规模化工业与消费级落地尚早，若科研采购节奏放缓，需求波动会被放大。</w:t>
      </w:r>
    </w:p>
    <w:p w14:paraId="3B5202D2" w14:textId="77777777" w:rsidR="00CE530A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）价格下行与竞争加剧风险。两类产品平均单价均逐年下行，行业价格战可能进一步压缩单价与毛利率；公司亦将竞争加剧列为增速回落的原因之一。</w:t>
      </w:r>
    </w:p>
    <w:p w14:paraId="54431186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）利润口径扰动风险。股份支付等非经常性项目使归母净利润显著低于扣非（</w:t>
      </w:r>
      <w:r>
        <w:rPr>
          <w:lang w:eastAsia="zh-CN"/>
        </w:rPr>
        <w:t>2025</w:t>
      </w:r>
      <w:r>
        <w:rPr>
          <w:lang w:eastAsia="zh-CN"/>
        </w:rPr>
        <w:t>年差额</w:t>
      </w:r>
      <w:r>
        <w:rPr>
          <w:lang w:eastAsia="zh-CN"/>
        </w:rPr>
        <w:t>-31,254.23</w:t>
      </w:r>
      <w:r>
        <w:rPr>
          <w:lang w:eastAsia="zh-CN"/>
        </w:rPr>
        <w:t>万元），后续股权激励仍可能持续扰动表观利润。</w:t>
      </w:r>
    </w:p>
    <w:p w14:paraId="2C04165A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）费用扩张与扣非承压风险。</w:t>
      </w:r>
      <w:r>
        <w:rPr>
          <w:lang w:eastAsia="zh-CN"/>
        </w:rPr>
        <w:t>2026</w:t>
      </w:r>
      <w:r>
        <w:rPr>
          <w:lang w:eastAsia="zh-CN"/>
        </w:rPr>
        <w:t>年上半年研发、销售费用快速增加，扣非归母同比下降</w:t>
      </w:r>
      <w:r>
        <w:rPr>
          <w:lang w:eastAsia="zh-CN"/>
        </w:rPr>
        <w:t>19.34%</w:t>
      </w:r>
      <w:r>
        <w:rPr>
          <w:lang w:eastAsia="zh-CN"/>
        </w:rPr>
        <w:t>、经营现金流同比下降</w:t>
      </w:r>
      <w:r>
        <w:rPr>
          <w:lang w:eastAsia="zh-CN"/>
        </w:rPr>
        <w:t>32.53%</w:t>
      </w:r>
      <w:r>
        <w:rPr>
          <w:lang w:eastAsia="zh-CN"/>
        </w:rPr>
        <w:t>，若收入增速继续换挡而费用刚性，利润率仍有下行压力。</w:t>
      </w:r>
    </w:p>
    <w:p w14:paraId="33DA37EA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）高估值波动风险。发行价对应市值</w:t>
      </w:r>
      <w:r>
        <w:rPr>
          <w:lang w:eastAsia="zh-CN"/>
        </w:rPr>
        <w:t>609.93</w:t>
      </w:r>
      <w:r>
        <w:rPr>
          <w:lang w:eastAsia="zh-CN"/>
        </w:rPr>
        <w:t>亿元、媒体口径发行市盈率</w:t>
      </w:r>
      <w:r>
        <w:rPr>
          <w:lang w:eastAsia="zh-CN"/>
        </w:rPr>
        <w:t>219.23</w:t>
      </w:r>
      <w:r>
        <w:rPr>
          <w:lang w:eastAsia="zh-CN"/>
        </w:rPr>
        <w:t>倍（待核），估值对业绩兑现高度敏感，二级市场波动风险较大。</w:t>
      </w:r>
    </w:p>
    <w:p w14:paraId="559FCED8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）供应链与外包风险。装配环节存在劳务外包，</w:t>
      </w:r>
      <w:r>
        <w:rPr>
          <w:lang w:eastAsia="zh-CN"/>
        </w:rPr>
        <w:t>2023—2025</w:t>
      </w:r>
      <w:r>
        <w:rPr>
          <w:lang w:eastAsia="zh-CN"/>
        </w:rPr>
        <w:t>年劳务外包费用由</w:t>
      </w:r>
      <w:r>
        <w:rPr>
          <w:lang w:eastAsia="zh-CN"/>
        </w:rPr>
        <w:t>1,161.69</w:t>
      </w:r>
      <w:r>
        <w:rPr>
          <w:lang w:eastAsia="zh-CN"/>
        </w:rPr>
        <w:t>万元增至</w:t>
      </w:r>
      <w:r>
        <w:rPr>
          <w:lang w:eastAsia="zh-CN"/>
        </w:rPr>
        <w:t>6,802.65</w:t>
      </w:r>
      <w:r>
        <w:rPr>
          <w:lang w:eastAsia="zh-CN"/>
        </w:rPr>
        <w:t>万元，产能扩张下对外包与供应链稳定性的依赖上升。</w:t>
      </w:r>
    </w:p>
    <w:p w14:paraId="6ECF0F34" w14:textId="77777777" w:rsidR="00CE530A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）外销与汇率风险。</w:t>
      </w:r>
      <w:r>
        <w:rPr>
          <w:lang w:eastAsia="zh-CN"/>
        </w:rPr>
        <w:t>2025</w:t>
      </w:r>
      <w:r>
        <w:rPr>
          <w:lang w:eastAsia="zh-CN"/>
        </w:rPr>
        <w:t>年境外收入</w:t>
      </w:r>
      <w:r>
        <w:rPr>
          <w:lang w:eastAsia="zh-CN"/>
        </w:rPr>
        <w:t>73,165.53</w:t>
      </w:r>
      <w:r>
        <w:rPr>
          <w:lang w:eastAsia="zh-CN"/>
        </w:rPr>
        <w:t>万元、占主营</w:t>
      </w:r>
      <w:r>
        <w:rPr>
          <w:lang w:eastAsia="zh-CN"/>
        </w:rPr>
        <w:t>43.65%</w:t>
      </w:r>
      <w:r>
        <w:rPr>
          <w:lang w:eastAsia="zh-CN"/>
        </w:rPr>
        <w:t>，海外结算、关税与汇率波动可能影响盈利；此外，</w:t>
      </w:r>
      <w:r>
        <w:rPr>
          <w:lang w:eastAsia="zh-CN"/>
        </w:rPr>
        <w:t>2026</w:t>
      </w:r>
      <w:r>
        <w:rPr>
          <w:lang w:eastAsia="zh-CN"/>
        </w:rPr>
        <w:t>年上半年数据未经审计、部分</w:t>
      </w:r>
      <w:r>
        <w:rPr>
          <w:lang w:eastAsia="zh-CN"/>
        </w:rPr>
        <w:t>2025</w:t>
      </w:r>
      <w:r>
        <w:rPr>
          <w:lang w:eastAsia="zh-CN"/>
        </w:rPr>
        <w:t>年分季度及分产品明细为反推或轧差约数，正式定期报告披露后可能修订。</w:t>
      </w:r>
    </w:p>
    <w:p w14:paraId="18873CD2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7  </w:t>
      </w:r>
      <w:r>
        <w:rPr>
          <w:rFonts w:ascii="Arial" w:eastAsia="黑体" w:hAnsi="Arial"/>
          <w:lang w:eastAsia="zh-CN"/>
        </w:rPr>
        <w:t>结论</w:t>
      </w:r>
    </w:p>
    <w:p w14:paraId="17351298" w14:textId="77777777" w:rsidR="00CE530A" w:rsidRDefault="00000000">
      <w:pPr>
        <w:rPr>
          <w:lang w:eastAsia="zh-CN"/>
        </w:rPr>
      </w:pPr>
      <w:r>
        <w:rPr>
          <w:lang w:eastAsia="zh-CN"/>
        </w:rPr>
        <w:t>宇树科技在报告期内完成了从四足为主到人形主导的产品切换，并以全栈自研维持了</w:t>
      </w:r>
      <w:r>
        <w:rPr>
          <w:lang w:eastAsia="zh-CN"/>
        </w:rPr>
        <w:t>60%</w:t>
      </w:r>
      <w:r>
        <w:rPr>
          <w:lang w:eastAsia="zh-CN"/>
        </w:rPr>
        <w:t>左右的主营毛利率和强劲现金流，属于高成长、高研发强度、低杠杆的硬科技企业。但增长斜率正在放缓，</w:t>
      </w:r>
      <w:r>
        <w:rPr>
          <w:lang w:eastAsia="zh-CN"/>
        </w:rPr>
        <w:t>2026</w:t>
      </w:r>
      <w:r>
        <w:rPr>
          <w:lang w:eastAsia="zh-CN"/>
        </w:rPr>
        <w:t>年进入</w:t>
      </w:r>
      <w:r>
        <w:rPr>
          <w:lang w:eastAsia="zh-CN"/>
        </w:rPr>
        <w:t>“</w:t>
      </w:r>
      <w:r>
        <w:rPr>
          <w:lang w:eastAsia="zh-CN"/>
        </w:rPr>
        <w:t>收入仍快、扣非承压</w:t>
      </w:r>
      <w:r>
        <w:rPr>
          <w:lang w:eastAsia="zh-CN"/>
        </w:rPr>
        <w:t>”</w:t>
      </w:r>
      <w:r>
        <w:rPr>
          <w:lang w:eastAsia="zh-CN"/>
        </w:rPr>
        <w:t>的阶段：竞争加剧、价格下行与费用扩张同时出现，人形需求仍集中于科研教育。后续判断的关键，在于人形能否向行业应用规模化渗透、募投研发与制造基地能否按计划转化为产品与产能，以及扣非利润率能否在费用扩张后重新企稳。本报告所有数据均来自上交所披露文件与公司公开资料（详见资料来源），预测与规划已与已实现数据明确区分，不构成投资建议。</w:t>
      </w:r>
    </w:p>
    <w:p w14:paraId="6A16FD93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8  </w:t>
      </w:r>
      <w:r>
        <w:rPr>
          <w:rFonts w:ascii="Arial" w:eastAsia="黑体" w:hAnsi="Arial"/>
          <w:lang w:eastAsia="zh-CN"/>
        </w:rPr>
        <w:t>口径与数据说明</w:t>
      </w:r>
    </w:p>
    <w:p w14:paraId="0F0ADEA0" w14:textId="77777777" w:rsidR="00CE530A" w:rsidRDefault="00000000">
      <w:pPr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金额除注明外均为人民币万元，比率以小数存储、百分比显示；亿元为万元除以</w:t>
      </w:r>
      <w:r>
        <w:rPr>
          <w:sz w:val="21"/>
          <w:lang w:eastAsia="zh-CN"/>
        </w:rPr>
        <w:t>10,000</w:t>
      </w:r>
      <w:r>
        <w:rPr>
          <w:sz w:val="21"/>
          <w:lang w:eastAsia="zh-CN"/>
        </w:rPr>
        <w:t>换算。</w:t>
      </w:r>
    </w:p>
    <w:p w14:paraId="2F0B5B05" w14:textId="77777777" w:rsidR="00CE530A" w:rsidRDefault="00000000">
      <w:pPr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后缀</w:t>
      </w:r>
      <w:r>
        <w:rPr>
          <w:sz w:val="21"/>
          <w:lang w:eastAsia="zh-CN"/>
        </w:rPr>
        <w:t>A</w:t>
      </w:r>
      <w:r>
        <w:rPr>
          <w:sz w:val="21"/>
          <w:lang w:eastAsia="zh-CN"/>
        </w:rPr>
        <w:t>表示已实现（</w:t>
      </w:r>
      <w:r>
        <w:rPr>
          <w:sz w:val="21"/>
          <w:lang w:eastAsia="zh-CN"/>
        </w:rPr>
        <w:t>2023—2025</w:t>
      </w:r>
      <w:r>
        <w:rPr>
          <w:sz w:val="21"/>
          <w:lang w:eastAsia="zh-CN"/>
        </w:rPr>
        <w:t>年经审计、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年一季度经审阅、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年上半年为上市公告书披露且未经审计）；后缀</w:t>
      </w:r>
      <w:r>
        <w:rPr>
          <w:sz w:val="21"/>
          <w:lang w:eastAsia="zh-CN"/>
        </w:rPr>
        <w:t>E</w:t>
      </w:r>
      <w:r>
        <w:rPr>
          <w:sz w:val="21"/>
          <w:lang w:eastAsia="zh-CN"/>
        </w:rPr>
        <w:t>表示预测（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5</w:t>
      </w:r>
      <w:r>
        <w:rPr>
          <w:sz w:val="21"/>
          <w:lang w:eastAsia="zh-CN"/>
        </w:rPr>
        <w:t>月业绩预告），预测不作为已发生事实。</w:t>
      </w:r>
    </w:p>
    <w:p w14:paraId="61AF9FD0" w14:textId="77777777" w:rsidR="00CE530A" w:rsidRDefault="00000000">
      <w:pPr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年度数据统一采用招股说明书注册稿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上市保荐书最终口径；申报稿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年营业收入</w:t>
      </w:r>
      <w:r>
        <w:rPr>
          <w:sz w:val="21"/>
          <w:lang w:eastAsia="zh-CN"/>
        </w:rPr>
        <w:t>170,820.87</w:t>
      </w:r>
      <w:r>
        <w:rPr>
          <w:sz w:val="21"/>
          <w:lang w:eastAsia="zh-CN"/>
        </w:rPr>
        <w:t>万元等已被修订的数据未采用。</w:t>
      </w:r>
    </w:p>
    <w:p w14:paraId="2992D5F7" w14:textId="77777777" w:rsidR="00CE530A" w:rsidRDefault="00000000">
      <w:pPr>
        <w:ind w:firstLineChars="0" w:firstLine="0"/>
        <w:rPr>
          <w:lang w:eastAsia="zh-CN"/>
        </w:rPr>
      </w:pPr>
      <w:r>
        <w:rPr>
          <w:sz w:val="21"/>
          <w:lang w:eastAsia="zh-CN"/>
        </w:rPr>
        <w:lastRenderedPageBreak/>
        <w:t xml:space="preserve">4. </w:t>
      </w:r>
      <w:r>
        <w:rPr>
          <w:sz w:val="21"/>
          <w:lang w:eastAsia="zh-CN"/>
        </w:rPr>
        <w:t>分产品、分地区占比以主营业务收入为分母；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组件及其他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2024</w:t>
      </w:r>
      <w:r>
        <w:rPr>
          <w:sz w:val="21"/>
          <w:lang w:eastAsia="zh-CN"/>
        </w:rPr>
        <w:t>年境内收入为轧差数；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年销售费用</w:t>
      </w:r>
      <w:r>
        <w:rPr>
          <w:sz w:val="21"/>
          <w:lang w:eastAsia="zh-CN"/>
        </w:rPr>
        <w:t>14,120.93</w:t>
      </w:r>
      <w:r>
        <w:rPr>
          <w:sz w:val="21"/>
          <w:lang w:eastAsia="zh-CN"/>
        </w:rPr>
        <w:t>万元为按披露费率反推的约数，发行市盈率</w:t>
      </w:r>
      <w:r>
        <w:rPr>
          <w:sz w:val="21"/>
          <w:lang w:eastAsia="zh-CN"/>
        </w:rPr>
        <w:t>219.23</w:t>
      </w:r>
      <w:r>
        <w:rPr>
          <w:sz w:val="21"/>
          <w:lang w:eastAsia="zh-CN"/>
        </w:rPr>
        <w:t>倍为媒体口径，均待以原文核验。</w:t>
      </w:r>
    </w:p>
    <w:p w14:paraId="012731B0" w14:textId="77777777" w:rsidR="00CE530A" w:rsidRDefault="00000000">
      <w:pPr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5. </w:t>
      </w:r>
      <w:r>
        <w:rPr>
          <w:sz w:val="21"/>
          <w:lang w:eastAsia="zh-CN"/>
        </w:rPr>
        <w:t>制造基地</w:t>
      </w:r>
      <w:r>
        <w:rPr>
          <w:sz w:val="21"/>
          <w:lang w:eastAsia="zh-CN"/>
        </w:rPr>
        <w:t>7.5</w:t>
      </w:r>
      <w:r>
        <w:rPr>
          <w:sz w:val="21"/>
          <w:lang w:eastAsia="zh-CN"/>
        </w:rPr>
        <w:t>万台</w:t>
      </w:r>
      <w:r>
        <w:rPr>
          <w:sz w:val="21"/>
          <w:lang w:eastAsia="zh-CN"/>
        </w:rPr>
        <w:t>/11.5</w:t>
      </w:r>
      <w:r>
        <w:rPr>
          <w:sz w:val="21"/>
          <w:lang w:eastAsia="zh-CN"/>
        </w:rPr>
        <w:t>万台为达产规划，非已实现产能或产量；资料截止日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</w:t>
      </w:r>
      <w:r>
        <w:rPr>
          <w:sz w:val="21"/>
          <w:lang w:eastAsia="zh-CN"/>
        </w:rPr>
        <w:t>8</w:t>
      </w:r>
      <w:r>
        <w:rPr>
          <w:sz w:val="21"/>
          <w:lang w:eastAsia="zh-CN"/>
        </w:rPr>
        <w:t>月</w:t>
      </w:r>
      <w:r>
        <w:rPr>
          <w:sz w:val="21"/>
          <w:lang w:eastAsia="zh-CN"/>
        </w:rPr>
        <w:t>30</w:t>
      </w:r>
      <w:r>
        <w:rPr>
          <w:sz w:val="21"/>
          <w:lang w:eastAsia="zh-CN"/>
        </w:rPr>
        <w:t>日之后的二级市场行情不纳入。</w:t>
      </w:r>
    </w:p>
    <w:p w14:paraId="57A9CEF4" w14:textId="77777777" w:rsidR="00CE530A" w:rsidRDefault="00000000">
      <w:pPr>
        <w:pStyle w:val="1"/>
        <w:spacing w:before="280" w:after="120"/>
        <w:ind w:firstLine="653"/>
        <w:rPr>
          <w:lang w:eastAsia="zh-CN"/>
        </w:rPr>
      </w:pPr>
      <w:r>
        <w:rPr>
          <w:rFonts w:ascii="Arial" w:eastAsia="黑体" w:hAnsi="Arial"/>
          <w:lang w:eastAsia="zh-CN"/>
        </w:rPr>
        <w:t xml:space="preserve">9  </w:t>
      </w:r>
      <w:r>
        <w:rPr>
          <w:rFonts w:ascii="Arial" w:eastAsia="黑体" w:hAnsi="Arial"/>
          <w:lang w:eastAsia="zh-CN"/>
        </w:rPr>
        <w:t>资料来源</w:t>
      </w:r>
    </w:p>
    <w:p w14:paraId="28755251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S1  </w:t>
      </w:r>
      <w:r>
        <w:rPr>
          <w:sz w:val="21"/>
          <w:lang w:eastAsia="zh-CN"/>
        </w:rPr>
        <w:t>招股说明书（注册稿），上交所科创板项目</w:t>
      </w:r>
      <w:r>
        <w:rPr>
          <w:sz w:val="21"/>
          <w:lang w:eastAsia="zh-CN"/>
        </w:rPr>
        <w:t xml:space="preserve"> auditId=2178</w:t>
      </w:r>
      <w:r>
        <w:rPr>
          <w:sz w:val="21"/>
          <w:lang w:eastAsia="zh-CN"/>
        </w:rPr>
        <w:t>（申报稿</w:t>
      </w:r>
      <w:r>
        <w:rPr>
          <w:sz w:val="21"/>
          <w:lang w:eastAsia="zh-CN"/>
        </w:rPr>
        <w:t>2026-03-20/</w:t>
      </w:r>
      <w:r>
        <w:rPr>
          <w:sz w:val="21"/>
          <w:lang w:eastAsia="zh-CN"/>
        </w:rPr>
        <w:t>上会稿</w:t>
      </w:r>
      <w:r>
        <w:rPr>
          <w:sz w:val="21"/>
          <w:lang w:eastAsia="zh-CN"/>
        </w:rPr>
        <w:t>2026-05-25/</w:t>
      </w:r>
      <w:r>
        <w:rPr>
          <w:sz w:val="21"/>
          <w:lang w:eastAsia="zh-CN"/>
        </w:rPr>
        <w:t>注册稿</w:t>
      </w:r>
      <w:r>
        <w:rPr>
          <w:sz w:val="21"/>
          <w:lang w:eastAsia="zh-CN"/>
        </w:rPr>
        <w:t>2026-06-02</w:t>
      </w:r>
      <w:r>
        <w:rPr>
          <w:sz w:val="21"/>
          <w:lang w:eastAsia="zh-CN"/>
        </w:rPr>
        <w:t>）</w:t>
      </w:r>
      <w:r>
        <w:rPr>
          <w:sz w:val="21"/>
          <w:lang w:eastAsia="zh-CN"/>
        </w:rPr>
        <w:t xml:space="preserve">  </w:t>
      </w:r>
      <w:hyperlink r:id="rId8">
        <w:r w:rsidR="00CE530A">
          <w:rPr>
            <w:color w:val="1155CC"/>
            <w:sz w:val="21"/>
            <w:u w:val="single"/>
            <w:lang w:eastAsia="zh-CN"/>
          </w:rPr>
          <w:t>https://star.sse.com.cn/listing/renewal/ipo/index_listing_detail.shtml?auditId=2178</w:t>
        </w:r>
      </w:hyperlink>
    </w:p>
    <w:p w14:paraId="37E3AD0A" w14:textId="77777777" w:rsidR="00CE530A" w:rsidRDefault="00000000">
      <w:pPr>
        <w:spacing w:after="40"/>
        <w:ind w:firstLineChars="0" w:firstLine="0"/>
      </w:pPr>
      <w:r>
        <w:rPr>
          <w:sz w:val="21"/>
        </w:rPr>
        <w:t xml:space="preserve">S2  </w:t>
      </w:r>
      <w:r>
        <w:rPr>
          <w:sz w:val="21"/>
        </w:rPr>
        <w:t>《上市保荐书》（注册稿）</w:t>
      </w:r>
      <w:r>
        <w:rPr>
          <w:sz w:val="21"/>
        </w:rPr>
        <w:t>002178_20260602_VI1W.pdf</w:t>
      </w:r>
      <w:r>
        <w:rPr>
          <w:sz w:val="21"/>
        </w:rPr>
        <w:t>，中信证券</w:t>
      </w:r>
      <w:r>
        <w:rPr>
          <w:sz w:val="21"/>
        </w:rPr>
        <w:t>/</w:t>
      </w:r>
      <w:r>
        <w:rPr>
          <w:sz w:val="21"/>
        </w:rPr>
        <w:t>上交所</w:t>
      </w:r>
      <w:r>
        <w:rPr>
          <w:sz w:val="21"/>
        </w:rPr>
        <w:t xml:space="preserve">  </w:t>
      </w:r>
      <w:hyperlink r:id="rId9">
        <w:r w:rsidR="00CE530A">
          <w:rPr>
            <w:color w:val="1155CC"/>
            <w:sz w:val="21"/>
            <w:u w:val="single"/>
          </w:rPr>
          <w:t>http://static.sse.com.cn/stock/disclosure/announcement/c/202606/002178_20260602_VI1W.pdf</w:t>
        </w:r>
      </w:hyperlink>
    </w:p>
    <w:p w14:paraId="34723AA4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S3  </w:t>
      </w:r>
      <w:r>
        <w:rPr>
          <w:sz w:val="21"/>
          <w:lang w:eastAsia="zh-CN"/>
        </w:rPr>
        <w:t>《审核中心意见落实函的回复》</w:t>
      </w:r>
      <w:r>
        <w:rPr>
          <w:sz w:val="21"/>
          <w:lang w:eastAsia="zh-CN"/>
        </w:rPr>
        <w:t>002178_20260525_V4H0.pdf</w:t>
      </w:r>
      <w:r>
        <w:rPr>
          <w:sz w:val="21"/>
          <w:lang w:eastAsia="zh-CN"/>
        </w:rPr>
        <w:t>，发行人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上交所</w:t>
      </w:r>
      <w:r>
        <w:rPr>
          <w:sz w:val="21"/>
          <w:lang w:eastAsia="zh-CN"/>
        </w:rPr>
        <w:t xml:space="preserve">  </w:t>
      </w:r>
      <w:hyperlink r:id="rId10">
        <w:r w:rsidR="00CE530A">
          <w:rPr>
            <w:color w:val="1155CC"/>
            <w:sz w:val="21"/>
            <w:u w:val="single"/>
            <w:lang w:eastAsia="zh-CN"/>
          </w:rPr>
          <w:t>http://static.sse.com.cn/stock/disclosure/announcement/c/202605/002178_20260525_V4H0.pdf</w:t>
        </w:r>
      </w:hyperlink>
    </w:p>
    <w:p w14:paraId="1D406F89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S4  </w:t>
      </w:r>
      <w:r>
        <w:rPr>
          <w:sz w:val="21"/>
          <w:lang w:eastAsia="zh-CN"/>
        </w:rPr>
        <w:t>《招股意向书》全文（新浪财经公告库转引），</w:t>
      </w:r>
      <w:r>
        <w:rPr>
          <w:sz w:val="21"/>
          <w:lang w:eastAsia="zh-CN"/>
        </w:rPr>
        <w:t xml:space="preserve">2026-07-31  </w:t>
      </w:r>
      <w:hyperlink r:id="rId11">
        <w:r w:rsidR="00CE530A">
          <w:rPr>
            <w:color w:val="1155CC"/>
            <w:sz w:val="21"/>
            <w:u w:val="single"/>
            <w:lang w:eastAsia="zh-CN"/>
          </w:rPr>
          <w:t>https://vip.stock.finance.sina.com.cn/corp/view/vCB_AllBulletinDetail.php?CompanyCode=82494861&amp;gather=1&amp;id=12470775</w:t>
        </w:r>
      </w:hyperlink>
    </w:p>
    <w:p w14:paraId="4C0398F6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S5  </w:t>
      </w:r>
      <w:r>
        <w:rPr>
          <w:sz w:val="21"/>
          <w:lang w:eastAsia="zh-CN"/>
        </w:rPr>
        <w:t>《首次公开发行股票科创板上市公告书》，</w:t>
      </w:r>
      <w:r>
        <w:rPr>
          <w:sz w:val="21"/>
          <w:lang w:eastAsia="zh-CN"/>
        </w:rPr>
        <w:t>2026-08-17</w:t>
      </w:r>
      <w:r>
        <w:rPr>
          <w:sz w:val="21"/>
          <w:lang w:eastAsia="zh-CN"/>
        </w:rPr>
        <w:t>（上海证券报提示性公告）</w:t>
      </w:r>
      <w:r>
        <w:rPr>
          <w:sz w:val="21"/>
          <w:lang w:eastAsia="zh-CN"/>
        </w:rPr>
        <w:t xml:space="preserve">  </w:t>
      </w:r>
      <w:hyperlink r:id="rId12">
        <w:r w:rsidR="00CE530A">
          <w:rPr>
            <w:color w:val="1155CC"/>
            <w:sz w:val="21"/>
            <w:u w:val="single"/>
            <w:lang w:eastAsia="zh-CN"/>
          </w:rPr>
          <w:t>http://paper.cnstock.com/html/2026-08/18/content_2255912.htm</w:t>
        </w:r>
      </w:hyperlink>
    </w:p>
    <w:p w14:paraId="410FE611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S6  </w:t>
      </w:r>
      <w:r>
        <w:rPr>
          <w:sz w:val="21"/>
          <w:lang w:eastAsia="zh-CN"/>
        </w:rPr>
        <w:t>《发行公告》《投资风险特别公告》（巨潮资讯），</w:t>
      </w:r>
      <w:r>
        <w:rPr>
          <w:sz w:val="21"/>
          <w:lang w:eastAsia="zh-CN"/>
        </w:rPr>
        <w:t xml:space="preserve">2026-08-07  </w:t>
      </w:r>
      <w:hyperlink r:id="rId13">
        <w:r w:rsidR="00CE530A">
          <w:rPr>
            <w:color w:val="1155CC"/>
            <w:sz w:val="21"/>
            <w:u w:val="single"/>
            <w:lang w:eastAsia="zh-CN"/>
          </w:rPr>
          <w:t>https://static.cninfo.com.cn/finalpage/2026-08-07/1225462415.PDF</w:t>
        </w:r>
      </w:hyperlink>
    </w:p>
    <w:p w14:paraId="19F9E5B5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S7  </w:t>
      </w:r>
      <w:r>
        <w:rPr>
          <w:sz w:val="21"/>
          <w:lang w:eastAsia="zh-CN"/>
        </w:rPr>
        <w:t>浦银国际《宇树招股书解读：六大维度看全球机器人龙头商业落地》（二手</w:t>
      </w:r>
      <w:r>
        <w:rPr>
          <w:sz w:val="21"/>
          <w:lang w:eastAsia="zh-CN"/>
        </w:rPr>
        <w:t>·</w:t>
      </w:r>
      <w:r>
        <w:rPr>
          <w:sz w:val="21"/>
          <w:lang w:eastAsia="zh-CN"/>
        </w:rPr>
        <w:t>研报转引）</w:t>
      </w:r>
      <w:r>
        <w:rPr>
          <w:sz w:val="21"/>
          <w:lang w:eastAsia="zh-CN"/>
        </w:rPr>
        <w:t xml:space="preserve">  </w:t>
      </w:r>
      <w:hyperlink r:id="rId14">
        <w:r w:rsidR="00CE530A">
          <w:rPr>
            <w:color w:val="1155CC"/>
            <w:sz w:val="21"/>
            <w:u w:val="single"/>
            <w:lang w:eastAsia="zh-CN"/>
          </w:rPr>
          <w:t>https://www.spdbi.com</w:t>
        </w:r>
      </w:hyperlink>
    </w:p>
    <w:p w14:paraId="22EE07D4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S8  </w:t>
      </w:r>
      <w:r>
        <w:rPr>
          <w:sz w:val="21"/>
          <w:lang w:eastAsia="zh-CN"/>
        </w:rPr>
        <w:t>兴业证券《全球通用机器人领军企业》研报（二手</w:t>
      </w:r>
      <w:r>
        <w:rPr>
          <w:sz w:val="21"/>
          <w:lang w:eastAsia="zh-CN"/>
        </w:rPr>
        <w:t>·</w:t>
      </w:r>
      <w:r>
        <w:rPr>
          <w:sz w:val="21"/>
          <w:lang w:eastAsia="zh-CN"/>
        </w:rPr>
        <w:t>研报转引，慧博投研）</w:t>
      </w:r>
      <w:r>
        <w:rPr>
          <w:sz w:val="21"/>
          <w:lang w:eastAsia="zh-CN"/>
        </w:rPr>
        <w:t xml:space="preserve">  </w:t>
      </w:r>
      <w:hyperlink r:id="rId15">
        <w:r w:rsidR="00CE530A">
          <w:rPr>
            <w:color w:val="1155CC"/>
            <w:sz w:val="21"/>
            <w:u w:val="single"/>
            <w:lang w:eastAsia="zh-CN"/>
          </w:rPr>
          <w:t>https://www.hibor.com.cn</w:t>
        </w:r>
      </w:hyperlink>
    </w:p>
    <w:p w14:paraId="20AF16E6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S9  </w:t>
      </w:r>
      <w:r>
        <w:rPr>
          <w:sz w:val="21"/>
          <w:lang w:eastAsia="zh-CN"/>
        </w:rPr>
        <w:t>国信证券《人形机器人本体系列之宇树科技招股书梳理》（二手</w:t>
      </w:r>
      <w:r>
        <w:rPr>
          <w:sz w:val="21"/>
          <w:lang w:eastAsia="zh-CN"/>
        </w:rPr>
        <w:t>·</w:t>
      </w:r>
      <w:r>
        <w:rPr>
          <w:sz w:val="21"/>
          <w:lang w:eastAsia="zh-CN"/>
        </w:rPr>
        <w:t>研报转引，慧博投研）</w:t>
      </w:r>
      <w:r>
        <w:rPr>
          <w:sz w:val="21"/>
          <w:lang w:eastAsia="zh-CN"/>
        </w:rPr>
        <w:t xml:space="preserve">  </w:t>
      </w:r>
      <w:hyperlink r:id="rId16">
        <w:r w:rsidR="00CE530A">
          <w:rPr>
            <w:color w:val="1155CC"/>
            <w:sz w:val="21"/>
            <w:u w:val="single"/>
            <w:lang w:eastAsia="zh-CN"/>
          </w:rPr>
          <w:t>https://www.hibor.com.cn</w:t>
        </w:r>
      </w:hyperlink>
    </w:p>
    <w:p w14:paraId="780E48F2" w14:textId="77777777" w:rsidR="00CE530A" w:rsidRDefault="00000000">
      <w:pPr>
        <w:spacing w:after="40"/>
        <w:ind w:firstLineChars="0" w:firstLine="0"/>
        <w:rPr>
          <w:lang w:eastAsia="zh-CN"/>
        </w:rPr>
      </w:pPr>
      <w:r>
        <w:rPr>
          <w:sz w:val="21"/>
          <w:lang w:eastAsia="zh-CN"/>
        </w:rPr>
        <w:t xml:space="preserve">S10 </w:t>
      </w:r>
      <w:r>
        <w:rPr>
          <w:sz w:val="21"/>
          <w:lang w:eastAsia="zh-CN"/>
        </w:rPr>
        <w:t>东方财富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证券时报</w:t>
      </w:r>
      <w:r>
        <w:rPr>
          <w:sz w:val="21"/>
          <w:lang w:eastAsia="zh-CN"/>
        </w:rPr>
        <w:t>·</w:t>
      </w:r>
      <w:r>
        <w:rPr>
          <w:sz w:val="21"/>
          <w:lang w:eastAsia="zh-CN"/>
        </w:rPr>
        <w:t>数据中心</w:t>
      </w:r>
      <w:r>
        <w:rPr>
          <w:sz w:val="21"/>
          <w:lang w:eastAsia="zh-CN"/>
        </w:rPr>
        <w:t xml:space="preserve"> 688836 </w:t>
      </w:r>
      <w:r>
        <w:rPr>
          <w:sz w:val="21"/>
          <w:lang w:eastAsia="zh-CN"/>
        </w:rPr>
        <w:t>财务指标（二手</w:t>
      </w:r>
      <w:r>
        <w:rPr>
          <w:sz w:val="21"/>
          <w:lang w:eastAsia="zh-CN"/>
        </w:rPr>
        <w:t>·</w:t>
      </w:r>
      <w:r>
        <w:rPr>
          <w:sz w:val="21"/>
          <w:lang w:eastAsia="zh-CN"/>
        </w:rPr>
        <w:t>数据聚合，交叉核对）</w:t>
      </w:r>
      <w:r>
        <w:rPr>
          <w:sz w:val="21"/>
          <w:lang w:eastAsia="zh-CN"/>
        </w:rPr>
        <w:t xml:space="preserve">  </w:t>
      </w:r>
      <w:hyperlink r:id="rId17">
        <w:r w:rsidR="00CE530A">
          <w:rPr>
            <w:color w:val="1155CC"/>
            <w:sz w:val="21"/>
            <w:u w:val="single"/>
            <w:lang w:eastAsia="zh-CN"/>
          </w:rPr>
          <w:t>https://data.eastmoney.com/stockdata/688836.html</w:t>
        </w:r>
      </w:hyperlink>
    </w:p>
    <w:p w14:paraId="5711727C" w14:textId="77777777" w:rsidR="00CE530A" w:rsidRDefault="00000000">
      <w:pPr>
        <w:spacing w:after="40"/>
        <w:ind w:firstLineChars="0" w:firstLine="0"/>
      </w:pPr>
      <w:r>
        <w:rPr>
          <w:sz w:val="21"/>
        </w:rPr>
        <w:t xml:space="preserve">S11 </w:t>
      </w:r>
      <w:r>
        <w:rPr>
          <w:sz w:val="21"/>
        </w:rPr>
        <w:t>宇树科技官方网站与官方公开资料</w:t>
      </w:r>
      <w:r>
        <w:rPr>
          <w:sz w:val="21"/>
        </w:rPr>
        <w:t xml:space="preserve">  </w:t>
      </w:r>
      <w:hyperlink r:id="rId18">
        <w:r w:rsidR="00CE530A">
          <w:rPr>
            <w:color w:val="1155CC"/>
            <w:sz w:val="21"/>
            <w:u w:val="single"/>
          </w:rPr>
          <w:t>https://www.unitree.com</w:t>
        </w:r>
      </w:hyperlink>
    </w:p>
    <w:p w14:paraId="5361E194" w14:textId="77777777" w:rsidR="00CE530A" w:rsidRDefault="00000000">
      <w:pPr>
        <w:spacing w:before="80"/>
        <w:ind w:firstLineChars="0" w:firstLine="0"/>
        <w:rPr>
          <w:lang w:eastAsia="zh-CN"/>
        </w:rPr>
      </w:pPr>
      <w:r>
        <w:rPr>
          <w:sz w:val="21"/>
        </w:rPr>
        <w:t>说明：</w:t>
      </w:r>
      <w:r>
        <w:rPr>
          <w:sz w:val="21"/>
        </w:rPr>
        <w:t>S7—S10</w:t>
      </w:r>
      <w:r>
        <w:rPr>
          <w:sz w:val="21"/>
        </w:rPr>
        <w:t>为二手转引</w:t>
      </w:r>
      <w:r>
        <w:rPr>
          <w:sz w:val="21"/>
        </w:rPr>
        <w:t>/</w:t>
      </w:r>
      <w:r>
        <w:rPr>
          <w:sz w:val="21"/>
        </w:rPr>
        <w:t>数据聚合，仅用于交叉核对与补充明细；如与</w:t>
      </w:r>
      <w:r>
        <w:rPr>
          <w:sz w:val="21"/>
        </w:rPr>
        <w:t>S1—S5</w:t>
      </w:r>
      <w:r>
        <w:rPr>
          <w:sz w:val="21"/>
        </w:rPr>
        <w:t>一手披露不一致，以一手披露为准。</w:t>
      </w:r>
      <w:r>
        <w:rPr>
          <w:sz w:val="21"/>
          <w:lang w:eastAsia="zh-CN"/>
        </w:rPr>
        <w:t>配套数据底稿见《宇树科技经营财务分析底稿</w:t>
      </w:r>
      <w:r>
        <w:rPr>
          <w:sz w:val="21"/>
          <w:lang w:eastAsia="zh-CN"/>
        </w:rPr>
        <w:t>_</w:t>
      </w:r>
      <w:r>
        <w:rPr>
          <w:sz w:val="21"/>
          <w:lang w:eastAsia="zh-CN"/>
        </w:rPr>
        <w:t>截至</w:t>
      </w:r>
      <w:r>
        <w:rPr>
          <w:sz w:val="21"/>
          <w:lang w:eastAsia="zh-CN"/>
        </w:rPr>
        <w:t>20260830.xlsx</w:t>
      </w:r>
      <w:r>
        <w:rPr>
          <w:sz w:val="21"/>
          <w:lang w:eastAsia="zh-CN"/>
        </w:rPr>
        <w:t>》。</w:t>
      </w:r>
    </w:p>
    <w:sectPr w:rsidR="00CE530A" w:rsidSect="00034616">
      <w:footerReference w:type="default" r:id="rId1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671D3B" w14:textId="77777777" w:rsidR="004636B3" w:rsidRDefault="004636B3">
      <w:pPr>
        <w:spacing w:line="240" w:lineRule="auto"/>
      </w:pPr>
      <w:r>
        <w:separator/>
      </w:r>
    </w:p>
  </w:endnote>
  <w:endnote w:type="continuationSeparator" w:id="0">
    <w:p w14:paraId="5CDA6C6D" w14:textId="77777777" w:rsidR="004636B3" w:rsidRDefault="00463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C0BA95" w14:textId="77777777" w:rsidR="00CE530A" w:rsidRDefault="00000000">
    <w:pPr>
      <w:pStyle w:val="a7"/>
      <w:ind w:firstLine="4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FD1888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3E973F" w14:textId="77777777" w:rsidR="004636B3" w:rsidRDefault="004636B3">
      <w:pPr>
        <w:spacing w:line="240" w:lineRule="auto"/>
      </w:pPr>
      <w:r>
        <w:separator/>
      </w:r>
    </w:p>
  </w:footnote>
  <w:footnote w:type="continuationSeparator" w:id="0">
    <w:p w14:paraId="7E98A7DF" w14:textId="77777777" w:rsidR="004636B3" w:rsidRDefault="004636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2589">
    <w:abstractNumId w:val="8"/>
  </w:num>
  <w:num w:numId="2" w16cid:durableId="480466089">
    <w:abstractNumId w:val="6"/>
  </w:num>
  <w:num w:numId="3" w16cid:durableId="284892303">
    <w:abstractNumId w:val="5"/>
  </w:num>
  <w:num w:numId="4" w16cid:durableId="286744897">
    <w:abstractNumId w:val="4"/>
  </w:num>
  <w:num w:numId="5" w16cid:durableId="945235926">
    <w:abstractNumId w:val="7"/>
  </w:num>
  <w:num w:numId="6" w16cid:durableId="656760130">
    <w:abstractNumId w:val="3"/>
  </w:num>
  <w:num w:numId="7" w16cid:durableId="1408922362">
    <w:abstractNumId w:val="2"/>
  </w:num>
  <w:num w:numId="8" w16cid:durableId="570895712">
    <w:abstractNumId w:val="1"/>
  </w:num>
  <w:num w:numId="9" w16cid:durableId="652953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232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C1"/>
    <w:rsid w:val="0006063C"/>
    <w:rsid w:val="0015074B"/>
    <w:rsid w:val="0029639D"/>
    <w:rsid w:val="00326F90"/>
    <w:rsid w:val="004636B3"/>
    <w:rsid w:val="00601FFC"/>
    <w:rsid w:val="00AA1D8D"/>
    <w:rsid w:val="00B47730"/>
    <w:rsid w:val="00CB0664"/>
    <w:rsid w:val="00CE530A"/>
    <w:rsid w:val="00FC693F"/>
    <w:rsid w:val="00FD1888"/>
    <w:rsid w:val="00FD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39ACC"/>
  <w14:defaultImageDpi w14:val="300"/>
  <w15:docId w15:val="{7828DF60-578F-ED45-AFF0-2D344541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rFonts w:ascii="Arial" w:eastAsia="宋体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.sse.com.cn/listing/renewal/ipo/index_listing_detail.shtml?auditId=2178" TargetMode="External"/><Relationship Id="rId13" Type="http://schemas.openxmlformats.org/officeDocument/2006/relationships/hyperlink" Target="https://static.cninfo.com.cn/finalpage/2026-08-07/1225462415.PDF" TargetMode="External"/><Relationship Id="rId18" Type="http://schemas.openxmlformats.org/officeDocument/2006/relationships/hyperlink" Target="https://www.unitree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paper.cnstock.com/html/2026-08/18/content_2255912.htm" TargetMode="External"/><Relationship Id="rId17" Type="http://schemas.openxmlformats.org/officeDocument/2006/relationships/hyperlink" Target="https://data.eastmoney.com/stockdata/688836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ibor.com.c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p.stock.finance.sina.com.cn/corp/view/vCB_AllBulletinDetail.php?CompanyCode=82494861&amp;gather=1&amp;id=1247077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ibor.com.cn" TargetMode="External"/><Relationship Id="rId10" Type="http://schemas.openxmlformats.org/officeDocument/2006/relationships/hyperlink" Target="http://static.sse.com.cn/stock/disclosure/announcement/c/202605/002178_20260525_V4H0.pdf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static.sse.com.cn/stock/disclosure/announcement/c/202606/002178_20260602_VI1W.pdf" TargetMode="External"/><Relationship Id="rId14" Type="http://schemas.openxmlformats.org/officeDocument/2006/relationships/hyperlink" Target="https://www.spdb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蘑菇 蘑菇</cp:lastModifiedBy>
  <cp:revision>3</cp:revision>
  <dcterms:created xsi:type="dcterms:W3CDTF">2013-12-23T23:15:00Z</dcterms:created>
  <dcterms:modified xsi:type="dcterms:W3CDTF">2026-09-04T07:55:00Z</dcterms:modified>
  <cp:category/>
</cp:coreProperties>
</file>